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7256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Ханты-Мансийский автономный округ – ЮГРА 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7256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Муниципальное образование «Ханты-Мансийский район» </w:t>
      </w: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7256C">
        <w:rPr>
          <w:rFonts w:ascii="Times New Roman" w:eastAsia="Times New Roman" w:hAnsi="Times New Roman"/>
          <w:b/>
          <w:sz w:val="48"/>
          <w:szCs w:val="48"/>
          <w:lang w:eastAsia="ru-RU"/>
        </w:rPr>
        <w:t>Доклад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>Минулина</w:t>
      </w:r>
      <w:proofErr w:type="spellEnd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Кирилла </w:t>
      </w:r>
      <w:proofErr w:type="spellStart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>Равильевича</w:t>
      </w:r>
      <w:proofErr w:type="spellEnd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>главы Ханты-Мансийского района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достигнутых значениях показателей 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для оценки эффективности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«Ханты-Мансийский район» за 2018</w:t>
      </w:r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 </w:t>
      </w: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 планируемых </w:t>
      </w:r>
      <w:proofErr w:type="gramStart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>значениях</w:t>
      </w:r>
      <w:proofErr w:type="gramEnd"/>
      <w:r w:rsidRPr="00B7256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3-летний период</w:t>
      </w: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6C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Подпись__________________________</w:t>
      </w: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501E4">
        <w:rPr>
          <w:rFonts w:ascii="Times New Roman" w:eastAsia="Times New Roman" w:hAnsi="Times New Roman"/>
          <w:sz w:val="28"/>
          <w:szCs w:val="28"/>
          <w:lang w:eastAsia="ru-RU"/>
        </w:rPr>
        <w:t>» апреля 2019</w:t>
      </w:r>
      <w:r w:rsidRPr="00B725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6C">
        <w:rPr>
          <w:rFonts w:ascii="Times New Roman" w:eastAsia="Times New Roman" w:hAnsi="Times New Roman"/>
          <w:sz w:val="28"/>
          <w:szCs w:val="28"/>
          <w:lang w:eastAsia="ru-RU"/>
        </w:rPr>
        <w:t>г. Ханты-Мансийск</w:t>
      </w:r>
    </w:p>
    <w:p w:rsidR="00845416" w:rsidRDefault="00845416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56C" w:rsidRPr="00B7256C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B7256C" w:rsidRDefault="00B7256C" w:rsidP="00B7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2" w:space="0" w:color="E8E8E8"/>
          <w:left w:val="dotted" w:sz="2" w:space="0" w:color="E8E8E8"/>
          <w:bottom w:val="dotted" w:sz="2" w:space="0" w:color="E8E8E8"/>
          <w:right w:val="dotted" w:sz="2" w:space="0" w:color="E8E8E8"/>
          <w:insideH w:val="dotted" w:sz="2" w:space="0" w:color="E8E8E8"/>
          <w:insideV w:val="dotted" w:sz="2" w:space="0" w:color="E8E8E8"/>
        </w:tblBorders>
        <w:tblLook w:val="0000" w:firstRow="0" w:lastRow="0" w:firstColumn="0" w:lastColumn="0" w:noHBand="0" w:noVBand="0"/>
      </w:tblPr>
      <w:tblGrid>
        <w:gridCol w:w="893"/>
        <w:gridCol w:w="697"/>
        <w:gridCol w:w="7235"/>
        <w:gridCol w:w="462"/>
      </w:tblGrid>
      <w:tr w:rsidR="00B7256C" w:rsidRPr="00B7256C" w:rsidTr="006212C5">
        <w:trPr>
          <w:trHeight w:val="360"/>
        </w:trPr>
        <w:tc>
          <w:tcPr>
            <w:tcW w:w="4751" w:type="pct"/>
            <w:gridSpan w:val="3"/>
          </w:tcPr>
          <w:p w:rsidR="00B7256C" w:rsidRPr="00B7256C" w:rsidRDefault="00B7256C" w:rsidP="00B7256C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Основные итоги социально</w:t>
            </w: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57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района за 2018</w:t>
            </w: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………………………………………………………. </w:t>
            </w:r>
          </w:p>
        </w:tc>
        <w:tc>
          <w:tcPr>
            <w:tcW w:w="249" w:type="pct"/>
            <w:vAlign w:val="bottom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256C" w:rsidRPr="0083499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83499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 …………………………………………..…………..</w:t>
            </w:r>
          </w:p>
        </w:tc>
        <w:tc>
          <w:tcPr>
            <w:tcW w:w="249" w:type="pct"/>
            <w:vAlign w:val="bottom"/>
          </w:tcPr>
          <w:p w:rsidR="00B7256C" w:rsidRPr="0071024A" w:rsidRDefault="0071024A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………………………………………………...……………</w:t>
            </w:r>
          </w:p>
        </w:tc>
        <w:tc>
          <w:tcPr>
            <w:tcW w:w="249" w:type="pct"/>
            <w:vAlign w:val="bottom"/>
          </w:tcPr>
          <w:p w:rsidR="00B7256C" w:rsidRPr="00296F28" w:rsidRDefault="00296F28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населения ……………………………………………………</w:t>
            </w:r>
          </w:p>
        </w:tc>
        <w:tc>
          <w:tcPr>
            <w:tcW w:w="249" w:type="pct"/>
            <w:vAlign w:val="bottom"/>
          </w:tcPr>
          <w:p w:rsidR="00B7256C" w:rsidRPr="00296F28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доходы и расходы населения</w:t>
            </w:r>
            <w:proofErr w:type="gram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..…………….………………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A57A32" w:rsidRDefault="00A57A32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Потребительский рынок………………………..………….……………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Криминогенная обстановка</w:t>
            </w:r>
            <w:proofErr w:type="gramEnd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жилищного фонда………………………………………….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прав граждан и юридических лиц…………………………….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платежной дисциплины и </w:t>
            </w:r>
            <w:proofErr w:type="spell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нивестиционной</w:t>
            </w:r>
            <w:proofErr w:type="spellEnd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в жилищно-коммунальном комплексе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256C" w:rsidRPr="00B7256C" w:rsidTr="006212C5">
        <w:trPr>
          <w:trHeight w:val="340"/>
        </w:trPr>
        <w:tc>
          <w:tcPr>
            <w:tcW w:w="4751" w:type="pct"/>
            <w:gridSpan w:val="3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B7256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Показатели, </w:t>
            </w: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характеризующие социально-экономическое развитие муниципального образования Ханты-Мансийский район, оценку </w:t>
            </w:r>
            <w:proofErr w:type="gramStart"/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эффективности деятельности органа местного самоуправления муниципального района</w:t>
            </w:r>
            <w:proofErr w:type="gramEnd"/>
            <w:r w:rsidR="003B0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2018</w:t>
            </w: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и их планируемые значения на 3-летний период </w:t>
            </w: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……………………...…………………………………………………………….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57A32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256C" w:rsidRPr="00B7256C" w:rsidTr="006212C5">
        <w:trPr>
          <w:trHeight w:val="340"/>
        </w:trPr>
        <w:tc>
          <w:tcPr>
            <w:tcW w:w="4751" w:type="pct"/>
            <w:gridSpan w:val="3"/>
          </w:tcPr>
          <w:p w:rsidR="00B7256C" w:rsidRPr="00B7256C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56C" w:rsidRPr="00B7256C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      </w: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.....................................................................</w:t>
            </w:r>
          </w:p>
        </w:tc>
        <w:tc>
          <w:tcPr>
            <w:tcW w:w="249" w:type="pct"/>
            <w:vAlign w:val="bottom"/>
          </w:tcPr>
          <w:p w:rsidR="00B7256C" w:rsidRPr="00056CFC" w:rsidRDefault="00056C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</w:t>
            </w:r>
            <w:proofErr w:type="gram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..….……………..………………………………………………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056CFC" w:rsidRDefault="00056C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      </w:r>
            <w:proofErr w:type="spell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медийная</w:t>
            </w:r>
            <w:proofErr w:type="spellEnd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(публикации и выступления в СМИ) активность глав городских округов и муниципальных районов автономного округа, работа с населением.……………………….</w:t>
            </w:r>
          </w:p>
        </w:tc>
        <w:tc>
          <w:tcPr>
            <w:tcW w:w="249" w:type="pct"/>
            <w:vAlign w:val="bottom"/>
          </w:tcPr>
          <w:p w:rsidR="00B7256C" w:rsidRPr="00056CFC" w:rsidRDefault="00056C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256C" w:rsidRPr="00B7256C" w:rsidTr="006212C5">
        <w:trPr>
          <w:trHeight w:val="340"/>
        </w:trPr>
        <w:tc>
          <w:tcPr>
            <w:tcW w:w="481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95" w:type="pct"/>
          </w:tcPr>
          <w:p w:rsidR="00B7256C" w:rsidRPr="00B725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2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социологического опроса населения……………………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056CFC" w:rsidRDefault="00056C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B725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5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5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5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56C" w:rsidRPr="00B7256C" w:rsidRDefault="00B7256C" w:rsidP="00B7256C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256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Основные итоги социально-экономического развития </w:t>
      </w:r>
      <w:r w:rsidR="001C55FB">
        <w:rPr>
          <w:rFonts w:ascii="Times New Roman" w:eastAsia="Times New Roman" w:hAnsi="Times New Roman"/>
          <w:b/>
          <w:sz w:val="24"/>
          <w:szCs w:val="24"/>
        </w:rPr>
        <w:t>Ханты-Мансийского района за 2018</w:t>
      </w:r>
      <w:r w:rsidRPr="00B7256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B7256C" w:rsidRPr="00B7256C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56C" w:rsidRPr="00B7256C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25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1.1.Демографическая ситуация</w:t>
      </w:r>
    </w:p>
    <w:p w:rsidR="00B7256C" w:rsidRPr="005A58D4" w:rsidRDefault="00B7256C" w:rsidP="007E4B49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</w:t>
      </w:r>
      <w:r w:rsidR="005A58D4" w:rsidRPr="005A58D4">
        <w:rPr>
          <w:rFonts w:ascii="Times New Roman" w:eastAsia="Times New Roman" w:hAnsi="Times New Roman"/>
          <w:sz w:val="24"/>
          <w:szCs w:val="24"/>
          <w:lang w:eastAsia="ru-RU"/>
        </w:rPr>
        <w:t>ия по состоянию на 1 ян</w:t>
      </w:r>
      <w:r w:rsidR="004F49A0">
        <w:rPr>
          <w:rFonts w:ascii="Times New Roman" w:eastAsia="Times New Roman" w:hAnsi="Times New Roman"/>
          <w:sz w:val="24"/>
          <w:szCs w:val="24"/>
          <w:lang w:eastAsia="ru-RU"/>
        </w:rPr>
        <w:t>варя 2019 года составляла 20 000</w:t>
      </w:r>
      <w:r w:rsidR="00890D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4B49" w:rsidRPr="007E4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B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E4B49" w:rsidRPr="00BC1D59">
        <w:rPr>
          <w:rFonts w:ascii="Times New Roman" w:eastAsia="Times New Roman" w:hAnsi="Times New Roman"/>
          <w:sz w:val="24"/>
          <w:szCs w:val="24"/>
          <w:lang w:eastAsia="ru-RU"/>
        </w:rPr>
        <w:t>реднегодовая численность постоянно проживающего насе</w:t>
      </w:r>
      <w:r w:rsidR="004268B2">
        <w:rPr>
          <w:rFonts w:ascii="Times New Roman" w:eastAsia="Times New Roman" w:hAnsi="Times New Roman"/>
          <w:sz w:val="24"/>
          <w:szCs w:val="24"/>
          <w:lang w:eastAsia="ru-RU"/>
        </w:rPr>
        <w:t>ления на территории</w:t>
      </w:r>
      <w:r w:rsidR="007E4B49" w:rsidRPr="00BC1D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</w:t>
      </w:r>
      <w:r w:rsidR="004268B2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r w:rsid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20 022</w:t>
      </w:r>
      <w:r w:rsidR="007E4B49" w:rsidRPr="00BC1D5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7E4B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4B49" w:rsidRDefault="00EF636C" w:rsidP="004268B2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Е</w:t>
      </w:r>
      <w:r w:rsidR="00B7256C" w:rsidRPr="005A58D4">
        <w:rPr>
          <w:rFonts w:ascii="Times New Roman" w:eastAsia="Times New Roman" w:hAnsi="Times New Roman"/>
          <w:sz w:val="24"/>
          <w:szCs w:val="24"/>
        </w:rPr>
        <w:t>стест</w:t>
      </w:r>
      <w:r w:rsidR="005A58D4" w:rsidRPr="005A58D4">
        <w:rPr>
          <w:rFonts w:ascii="Times New Roman" w:eastAsia="Times New Roman" w:hAnsi="Times New Roman"/>
          <w:sz w:val="24"/>
          <w:szCs w:val="24"/>
        </w:rPr>
        <w:t>венный прирост</w:t>
      </w:r>
      <w:r w:rsidR="004268B2">
        <w:rPr>
          <w:rFonts w:ascii="Times New Roman" w:eastAsia="Times New Roman" w:hAnsi="Times New Roman"/>
          <w:sz w:val="24"/>
          <w:szCs w:val="24"/>
        </w:rPr>
        <w:t xml:space="preserve"> населения – </w:t>
      </w:r>
      <w:r w:rsidR="005A58D4" w:rsidRPr="005A58D4">
        <w:rPr>
          <w:rFonts w:ascii="Times New Roman" w:eastAsia="Times New Roman" w:hAnsi="Times New Roman"/>
          <w:sz w:val="24"/>
          <w:szCs w:val="24"/>
        </w:rPr>
        <w:t>38</w:t>
      </w:r>
      <w:r w:rsidR="007E4B49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B7256C" w:rsidRPr="005A58D4">
        <w:rPr>
          <w:rFonts w:ascii="Times New Roman" w:eastAsia="Times New Roman" w:hAnsi="Times New Roman"/>
          <w:sz w:val="24"/>
          <w:szCs w:val="24"/>
        </w:rPr>
        <w:t>. Коэффициент естественного прироста за отчетный период составил</w:t>
      </w:r>
      <w:r w:rsidR="005A58D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A58D4" w:rsidRPr="005A58D4">
        <w:rPr>
          <w:rFonts w:ascii="Times New Roman" w:eastAsia="Times New Roman" w:hAnsi="Times New Roman"/>
          <w:sz w:val="24"/>
          <w:szCs w:val="24"/>
        </w:rPr>
        <w:t>1,9</w:t>
      </w:r>
      <w:r w:rsidR="00B7256C" w:rsidRPr="005A58D4">
        <w:rPr>
          <w:rFonts w:ascii="Times New Roman" w:eastAsia="Times New Roman" w:hAnsi="Times New Roman"/>
          <w:sz w:val="24"/>
          <w:szCs w:val="24"/>
        </w:rPr>
        <w:t xml:space="preserve"> человека на 1000 человек населения.</w:t>
      </w:r>
    </w:p>
    <w:p w:rsidR="004268B2" w:rsidRDefault="004268B2" w:rsidP="004268B2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F636C" w:rsidRDefault="00EF636C" w:rsidP="00284325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F44FDA" wp14:editId="79A83B07">
            <wp:extent cx="5779698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636C" w:rsidRDefault="00EF636C" w:rsidP="00B7256C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84325" w:rsidRDefault="00CB0E45" w:rsidP="00CB0E45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44EA1">
        <w:rPr>
          <w:rFonts w:ascii="Times New Roman" w:eastAsia="Times New Roman" w:hAnsi="Times New Roman"/>
          <w:b/>
          <w:sz w:val="24"/>
          <w:szCs w:val="24"/>
        </w:rPr>
        <w:t>Естественный</w:t>
      </w:r>
      <w:proofErr w:type="gramEnd"/>
      <w:r w:rsidRPr="00544EA1">
        <w:rPr>
          <w:rFonts w:ascii="Times New Roman" w:eastAsia="Times New Roman" w:hAnsi="Times New Roman"/>
          <w:b/>
          <w:sz w:val="24"/>
          <w:szCs w:val="24"/>
        </w:rPr>
        <w:t xml:space="preserve"> прост населения</w:t>
      </w:r>
      <w:r w:rsidR="00544EA1">
        <w:rPr>
          <w:rFonts w:ascii="Times New Roman" w:eastAsia="Times New Roman" w:hAnsi="Times New Roman"/>
          <w:b/>
          <w:sz w:val="24"/>
          <w:szCs w:val="24"/>
        </w:rPr>
        <w:t xml:space="preserve"> (чел.)</w:t>
      </w:r>
    </w:p>
    <w:p w:rsidR="004D30F9" w:rsidRDefault="004D30F9" w:rsidP="00CB0E45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6124E" w:rsidRDefault="00CE6C80" w:rsidP="004D3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ED7DC5" wp14:editId="42FEBC91">
            <wp:extent cx="5822830" cy="2355011"/>
            <wp:effectExtent l="0" t="0" r="698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24E" w:rsidRDefault="0076124E" w:rsidP="00544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45" w:rsidRDefault="00B7256C" w:rsidP="00544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Важную роль в формировании демографических процессов района играет миграционное движение населения. Отличительной чертой миграционных процессов </w:t>
      </w:r>
      <w:proofErr w:type="gramStart"/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Pr="005A58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</w:t>
      </w:r>
      <w:r w:rsidR="00544EA1">
        <w:rPr>
          <w:rFonts w:ascii="Times New Roman" w:eastAsia="Times New Roman" w:hAnsi="Times New Roman"/>
          <w:sz w:val="24"/>
          <w:szCs w:val="24"/>
          <w:lang w:eastAsia="ru-RU"/>
        </w:rPr>
        <w:t xml:space="preserve">яется нефтедобывающая отрасль. </w:t>
      </w:r>
    </w:p>
    <w:p w:rsidR="00516DEE" w:rsidRDefault="00516DEE" w:rsidP="000870AD">
      <w:pPr>
        <w:spacing w:after="0" w:line="264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E4B49" w:rsidRDefault="007E4B49" w:rsidP="00B7256C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45" w:rsidRDefault="00CB0E45" w:rsidP="00CB0E4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E4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94E3E3" wp14:editId="07F753CF">
            <wp:extent cx="5762446" cy="229462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E45" w:rsidRDefault="00CB0E45" w:rsidP="00B7256C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B49" w:rsidRDefault="007E4B49" w:rsidP="00B7256C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BC1D59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C1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1.2.Промышленность</w:t>
      </w:r>
    </w:p>
    <w:p w:rsidR="00B33793" w:rsidRDefault="00B33793" w:rsidP="00B337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ru-RU"/>
        </w:rPr>
        <w:t>о итогам 2018 года оборот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ru-RU"/>
        </w:rPr>
        <w:t>(без субъектов малого предпринимательства) по Ханты-Мансийскому району</w:t>
      </w:r>
      <w:r w:rsidRPr="00B3379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 474 741,2 млн. рублей или 122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к соответствующему периоду предыдущего года. </w:t>
      </w:r>
    </w:p>
    <w:p w:rsidR="00B33793" w:rsidRPr="00B33793" w:rsidRDefault="00B33793" w:rsidP="00AC6B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79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бъем отгруженных товаров собственного производства, выполненных работ и услуг в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действующих ценах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за 2018</w:t>
      </w:r>
      <w:r w:rsidRPr="00B33793">
        <w:rPr>
          <w:rFonts w:ascii="Times New Roman" w:eastAsia="Times New Roman" w:hAnsi="Times New Roman"/>
          <w:bCs/>
          <w:color w:val="FF0000"/>
          <w:sz w:val="24"/>
          <w:szCs w:val="24"/>
          <w:lang w:eastAsia="zh-CN"/>
        </w:rPr>
        <w:t xml:space="preserve"> </w:t>
      </w:r>
      <w:r w:rsidRPr="00B33793">
        <w:rPr>
          <w:rFonts w:ascii="Times New Roman" w:eastAsia="Times New Roman" w:hAnsi="Times New Roman"/>
          <w:bCs/>
          <w:sz w:val="24"/>
          <w:szCs w:val="24"/>
          <w:lang w:eastAsia="zh-CN"/>
        </w:rPr>
        <w:t>год сложился в сумме</w:t>
      </w:r>
      <w:r w:rsidRPr="00B3379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452 607,9 </w:t>
      </w:r>
      <w:r w:rsidR="00AC6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млн. рублей, или 101,3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к уровню 2017 года в сопоставимых ценах</w:t>
      </w:r>
      <w:r w:rsidRPr="00B337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C5ED9" w:rsidRDefault="00B33793" w:rsidP="003E3A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33793">
        <w:rPr>
          <w:rFonts w:ascii="Times New Roman" w:eastAsia="Times New Roman" w:hAnsi="Times New Roman"/>
          <w:sz w:val="24"/>
          <w:szCs w:val="24"/>
          <w:lang w:eastAsia="zh-CN"/>
        </w:rPr>
        <w:t>Структура объема отгруженной продукции собственного производства, выполненных работ и услуг по крупным и средним предприятиям района выглядит следующим образом</w:t>
      </w:r>
      <w:r w:rsidR="003E3A4F">
        <w:rPr>
          <w:rFonts w:ascii="Times New Roman" w:eastAsia="Times New Roman" w:hAnsi="Times New Roman"/>
          <w:sz w:val="24"/>
          <w:szCs w:val="24"/>
          <w:lang w:eastAsia="zh-CN"/>
        </w:rPr>
        <w:t xml:space="preserve"> (млн. рублей)</w:t>
      </w:r>
      <w:r w:rsidRPr="00B33793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1C5ED9" w:rsidRDefault="001C5ED9" w:rsidP="001C5E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56E598" wp14:editId="3EB2D74E">
            <wp:extent cx="5762445" cy="3096883"/>
            <wp:effectExtent l="0" t="0" r="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ED9" w:rsidRDefault="001C5ED9" w:rsidP="00B337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7256C" w:rsidRPr="00B834E7" w:rsidRDefault="003E3A4F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в</w:t>
      </w:r>
      <w:r w:rsidR="00B7256C" w:rsidRPr="00B834E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834E7" w:rsidRPr="00B834E7">
        <w:rPr>
          <w:rFonts w:ascii="Times New Roman" w:eastAsia="Times New Roman" w:hAnsi="Times New Roman"/>
          <w:sz w:val="24"/>
          <w:szCs w:val="24"/>
          <w:lang w:eastAsia="ru-RU"/>
        </w:rPr>
        <w:t>018</w:t>
      </w:r>
      <w:r w:rsidR="00B7256C" w:rsidRPr="00B834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сохранена структура </w:t>
      </w:r>
      <w:r w:rsidR="00B7256C" w:rsidRPr="00B834E7">
        <w:rPr>
          <w:rFonts w:ascii="Times New Roman" w:eastAsia="Times New Roman" w:hAnsi="Times New Roman"/>
          <w:sz w:val="24"/>
          <w:szCs w:val="24"/>
          <w:lang w:eastAsia="ru-RU"/>
        </w:rPr>
        <w:t>объема отгруженной продукции на т</w:t>
      </w:r>
      <w:r w:rsidR="00B834E7" w:rsidRPr="00B834E7">
        <w:rPr>
          <w:rFonts w:ascii="Times New Roman" w:eastAsia="Times New Roman" w:hAnsi="Times New Roman"/>
          <w:sz w:val="24"/>
          <w:szCs w:val="24"/>
          <w:lang w:eastAsia="ru-RU"/>
        </w:rPr>
        <w:t>ерритории района, в которой порядка 99</w:t>
      </w:r>
      <w:r w:rsidR="00B7256C" w:rsidRPr="00B834E7">
        <w:rPr>
          <w:rFonts w:ascii="Times New Roman" w:eastAsia="Times New Roman" w:hAnsi="Times New Roman"/>
          <w:sz w:val="24"/>
          <w:szCs w:val="24"/>
          <w:lang w:eastAsia="ru-RU"/>
        </w:rPr>
        <w:t>% объема сформировано организациями, добывающими углеводородное сырье.</w:t>
      </w:r>
    </w:p>
    <w:p w:rsidR="00B7256C" w:rsidRPr="00B834E7" w:rsidRDefault="00B7256C" w:rsidP="00B7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4E7">
        <w:rPr>
          <w:rFonts w:ascii="Times New Roman" w:eastAsia="Times New Roman" w:hAnsi="Times New Roman"/>
          <w:i/>
          <w:sz w:val="24"/>
          <w:szCs w:val="24"/>
        </w:rPr>
        <w:t>Добыча полезных ископаемых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В 2018 году на территории Ханты-Мансийского района добычу нефти и газа осуществляли 6 нефтегазодобывающих компаний. По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Департамента по недропользованию и природных ресурсов автономного </w:t>
      </w:r>
      <w:proofErr w:type="gramStart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суммарно извлекаемые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запасы нефти составили 44,43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млн. тонн, что к уровню прошлого года составило 101,9%. 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Лидерами по добыче нефти на территории района за отчетный период остаются ПАО «НК «Роснефть» – 30,3 млн. тонн (68,1% от общего объема добытой нефти), ПАО «</w:t>
      </w:r>
      <w:proofErr w:type="spellStart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Газпромнефть</w:t>
      </w:r>
      <w:proofErr w:type="spellEnd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» – 11,4 млн. тонн (25,7% от общего объема добытой нефти).</w:t>
      </w:r>
    </w:p>
    <w:p w:rsid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из шести добывающих компаний наибольшую положительную динамику в сравнении с аналогичным периодом 2017 года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>показали две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нефтедобывающие компании: ПАО «АНК «</w:t>
      </w:r>
      <w:proofErr w:type="spellStart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Башнефть</w:t>
      </w:r>
      <w:proofErr w:type="spellEnd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(185,7%),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>АО НК «</w:t>
      </w:r>
      <w:proofErr w:type="spellStart"/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>РуссНефть</w:t>
      </w:r>
      <w:proofErr w:type="spellEnd"/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>» (117,9%).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Объем природного газа, извлеченного из недр на территории Ханты-Мансийского района, за 2018 год по данным Департамента</w:t>
      </w:r>
      <w:r w:rsidR="00483C9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по недропользованию авт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>ономного округа составил 4 281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куб. м,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увеличившись по сравнению с аналогичным показателем 2017 года на 4,7%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(2017 год – 4 090,3 млн. куб. м).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2018 год наибольшие объемы газа добыты предприятиями: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br/>
        <w:t>ПАО «НК «Роснефть» – 2 968,7 млн. куб. м (69,3% от общего объема добытого газа); ПАО «</w:t>
      </w:r>
      <w:proofErr w:type="spellStart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Газпромнефть</w:t>
      </w:r>
      <w:proofErr w:type="spellEnd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» – 1 113,5 млн. куб. м (26,0%).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За 2018 год было введено в эксплуатацию 1 018 новых добывающих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скважин, что на 237 скважин меньше,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чем за 2017 год (1 255 скважин).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Эксплуатационным бурением пройдено 3 483,3 тыс. м,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что на 23,9% ниже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аналогичного показателя 2017 года (4 576,1 тыс. м). Эксплуатационный фонд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добывающих скважин за 2018 год составил 10 217 единиц, что на 8,3% выше 2017 года (9 430 единиц).</w:t>
      </w:r>
    </w:p>
    <w:p w:rsidR="001C1447" w:rsidRPr="001C1447" w:rsidRDefault="001C1447" w:rsidP="001C1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Добычу общераспространенных полезных ископаемых (далее – ОПИ) на территории района в 201</w:t>
      </w:r>
      <w:r w:rsidR="00BB7EBD">
        <w:rPr>
          <w:rFonts w:ascii="Times New Roman" w:eastAsia="Times New Roman" w:hAnsi="Times New Roman"/>
          <w:sz w:val="24"/>
          <w:szCs w:val="24"/>
          <w:lang w:eastAsia="ru-RU"/>
        </w:rPr>
        <w:t xml:space="preserve">8 году осуществляло 9 компаний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(в 2017 году – 10 компаний). Суммарный объем добычи всех ОПИ составил 22 326,75 тыс.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куб. м,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в том числе песка – 22 276,21 тыс. куб. м (99,8% от общего объема ОПИ).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По сравнению с показателями за 2017 год</w:t>
      </w:r>
      <w:r w:rsidR="00BB7EBD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добыча ОПИ увеличилась на 24%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(18 003,86 тыс. куб. метров). Лидером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добыче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 на территории района в 2018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году являлось ООО «РН-</w:t>
      </w:r>
      <w:proofErr w:type="spellStart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Юганскнефтегаз</w:t>
      </w:r>
      <w:proofErr w:type="spellEnd"/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» – 16 916,34 тыс. куб. м (75,8% от общего объема добычи ОПИ).</w:t>
      </w:r>
    </w:p>
    <w:p w:rsidR="00B7256C" w:rsidRPr="001C1447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электрической энергией, газом и паром; кондиционирование воздуха.</w:t>
      </w:r>
    </w:p>
    <w:p w:rsidR="00B7256C" w:rsidRPr="001C1447" w:rsidRDefault="001C1447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По данным</w:t>
      </w:r>
      <w:r w:rsidRPr="001C14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1C1447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</w:t>
      </w:r>
      <w:r w:rsidRPr="001C1447">
        <w:rPr>
          <w:rFonts w:ascii="Times New Roman" w:hAnsi="Times New Roman"/>
          <w:sz w:val="24"/>
          <w:szCs w:val="24"/>
        </w:rPr>
        <w:br/>
        <w:t>по Тюменской области, Ханты-Мансийскому автономному округу – Югре и Ямало-Ненецкому автономному округу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беспечение электрической энерг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ией, газом и паром за 2018 год </w:t>
      </w:r>
      <w:r w:rsidRPr="001C1447">
        <w:rPr>
          <w:rFonts w:ascii="Times New Roman" w:eastAsia="Times New Roman" w:hAnsi="Times New Roman"/>
          <w:bCs/>
          <w:sz w:val="24"/>
          <w:szCs w:val="24"/>
          <w:lang w:eastAsia="ru-RU"/>
        </w:rPr>
        <w:t>в действующих ценах сложилось в объеме 2 502,2</w:t>
      </w:r>
      <w:r w:rsidR="00B7256C" w:rsidRPr="001C14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Start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109,3</w:t>
      </w:r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% в сопоставимых ценах</w:t>
      </w:r>
      <w:r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к аналогичному периоду 2017 года (2 167,3</w:t>
      </w:r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>млн.рублей</w:t>
      </w:r>
      <w:proofErr w:type="spellEnd"/>
      <w:r w:rsidR="00B7256C" w:rsidRPr="001C144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C1447" w:rsidRDefault="001C1447" w:rsidP="00B72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C1447">
        <w:rPr>
          <w:rFonts w:ascii="Times New Roman" w:hAnsi="Times New Roman"/>
          <w:sz w:val="24"/>
          <w:szCs w:val="24"/>
          <w:lang w:eastAsia="ru-RU"/>
        </w:rPr>
        <w:t>По предварительным данным предприятиями электроэнергетики по Ханты-Мансийскому району за 2018 год выработано электроэнергии 3 849,8 млн. кВт/</w:t>
      </w:r>
      <w:proofErr w:type="gramStart"/>
      <w:r w:rsidRPr="001C1447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1C14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или 100,9 % к аналогичному показателю прошлого года (20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17 год – 3 816,9 млн. кВт/час).</w:t>
      </w:r>
    </w:p>
    <w:p w:rsidR="00B7256C" w:rsidRPr="001C1447" w:rsidRDefault="00B7256C" w:rsidP="00B72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C1447">
        <w:rPr>
          <w:rFonts w:ascii="Times New Roman" w:eastAsia="Times New Roman" w:hAnsi="Times New Roman"/>
          <w:bCs/>
          <w:i/>
          <w:iCs/>
          <w:sz w:val="24"/>
          <w:szCs w:val="24"/>
        </w:rPr>
        <w:t>Обрабатывающее производство</w:t>
      </w:r>
    </w:p>
    <w:p w:rsidR="00E96670" w:rsidRDefault="00B7256C" w:rsidP="00E966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6670">
        <w:rPr>
          <w:rFonts w:ascii="Times New Roman" w:eastAsia="Times New Roman" w:hAnsi="Times New Roman"/>
          <w:sz w:val="24"/>
          <w:szCs w:val="24"/>
          <w:lang w:eastAsia="ru-RU"/>
        </w:rPr>
        <w:t>Доля обрабатывающей промышленности в о</w:t>
      </w:r>
      <w:r w:rsidR="00E96670" w:rsidRPr="00E96670">
        <w:rPr>
          <w:rFonts w:ascii="Times New Roman" w:eastAsia="Times New Roman" w:hAnsi="Times New Roman"/>
          <w:sz w:val="24"/>
          <w:szCs w:val="24"/>
          <w:lang w:eastAsia="ru-RU"/>
        </w:rPr>
        <w:t xml:space="preserve">бщем объеме производства за 2018 год </w:t>
      </w:r>
      <w:r w:rsidR="00E96670" w:rsidRPr="002811B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составила </w:t>
      </w:r>
      <w:r w:rsidR="002811B3" w:rsidRPr="002811B3">
        <w:rPr>
          <w:rFonts w:ascii="Times New Roman" w:eastAsia="Times New Roman" w:hAnsi="Times New Roman"/>
          <w:sz w:val="24"/>
          <w:szCs w:val="24"/>
          <w:lang w:eastAsia="ru-RU"/>
        </w:rPr>
        <w:t>0,35% (1 565,5</w:t>
      </w:r>
      <w:r w:rsidRPr="002811B3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рублей), большая часть, которой представлена в районе предприятиями топливно-энергетического</w:t>
      </w:r>
      <w:r w:rsidRPr="00E966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комплекса, оказывающими услуги по монтажу, ремонту и техническому обслуживанию оборудования общего назначения, эксплуатируемого нефтедобывающими предприятиями.</w:t>
      </w:r>
      <w:r w:rsidRPr="00B7256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96670" w:rsidRPr="00E96670">
        <w:rPr>
          <w:rFonts w:ascii="Times New Roman" w:hAnsi="Times New Roman"/>
          <w:sz w:val="24"/>
          <w:szCs w:val="24"/>
          <w:lang w:eastAsia="ru-RU"/>
        </w:rPr>
        <w:t>В населенных пунктах Ханты-Мансийского района обрабатывающее производство представлено производством хлеба, хлебобулочных изделий, выловом и переработкой рыбы малыми предприятиями и индивидуальными предпринимателями.</w:t>
      </w:r>
    </w:p>
    <w:p w:rsidR="00E96670" w:rsidRPr="00E96670" w:rsidRDefault="00E96670" w:rsidP="00E966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6670">
        <w:rPr>
          <w:rFonts w:ascii="Times New Roman" w:hAnsi="Times New Roman"/>
          <w:sz w:val="24"/>
          <w:szCs w:val="24"/>
          <w:lang w:eastAsia="ru-RU"/>
        </w:rPr>
        <w:t xml:space="preserve">В 2018 году на территории Ханты-Мансийского района заготовкой и переработкой древесины крупные и средние предприятия (организации) соответствующего вида деятельности не занимались. </w:t>
      </w:r>
    </w:p>
    <w:p w:rsidR="00E96670" w:rsidRPr="00E96670" w:rsidRDefault="00E96670" w:rsidP="00E966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6670">
        <w:rPr>
          <w:rFonts w:ascii="Times New Roman" w:hAnsi="Times New Roman"/>
          <w:sz w:val="24"/>
          <w:szCs w:val="24"/>
          <w:lang w:eastAsia="ru-RU"/>
        </w:rPr>
        <w:t xml:space="preserve">Выпечку хлеба и хлебобулочных изделий в течение 2018 года </w:t>
      </w:r>
      <w:r w:rsidRPr="00E96670">
        <w:rPr>
          <w:rFonts w:ascii="Times New Roman" w:hAnsi="Times New Roman"/>
          <w:sz w:val="24"/>
          <w:szCs w:val="24"/>
          <w:lang w:eastAsia="ru-RU"/>
        </w:rPr>
        <w:br/>
      </w:r>
      <w:r w:rsidRPr="00E966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территории Ханты-Мансийского района осуществляли 6 </w:t>
      </w:r>
      <w:proofErr w:type="spellStart"/>
      <w:r w:rsidRPr="00E96670">
        <w:rPr>
          <w:rFonts w:ascii="Times New Roman" w:hAnsi="Times New Roman"/>
          <w:sz w:val="24"/>
          <w:szCs w:val="24"/>
          <w:lang w:eastAsia="ru-RU"/>
        </w:rPr>
        <w:t>микропредприятий</w:t>
      </w:r>
      <w:proofErr w:type="spellEnd"/>
      <w:r w:rsidRPr="00E96670">
        <w:rPr>
          <w:rFonts w:ascii="Times New Roman" w:hAnsi="Times New Roman"/>
          <w:sz w:val="24"/>
          <w:szCs w:val="24"/>
          <w:lang w:eastAsia="ru-RU"/>
        </w:rPr>
        <w:t xml:space="preserve"> и 14 предпринимателей в 25 пекарнях в 20 населенных пунктах района, одна</w:t>
      </w:r>
      <w:r w:rsidRPr="00E9667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96670">
        <w:rPr>
          <w:rFonts w:ascii="Times New Roman" w:hAnsi="Times New Roman"/>
          <w:sz w:val="24"/>
          <w:szCs w:val="24"/>
          <w:lang w:eastAsia="ru-RU"/>
        </w:rPr>
        <w:t xml:space="preserve">пекарня находится на межселенной территории в п. </w:t>
      </w:r>
      <w:proofErr w:type="spellStart"/>
      <w:r w:rsidRPr="00E96670">
        <w:rPr>
          <w:rFonts w:ascii="Times New Roman" w:hAnsi="Times New Roman"/>
          <w:sz w:val="24"/>
          <w:szCs w:val="24"/>
          <w:lang w:eastAsia="ru-RU"/>
        </w:rPr>
        <w:t>Меркур</w:t>
      </w:r>
      <w:proofErr w:type="spellEnd"/>
      <w:r w:rsidRPr="00E9667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6670" w:rsidRPr="00E96670" w:rsidRDefault="00E96670" w:rsidP="00261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6670">
        <w:rPr>
          <w:rFonts w:ascii="Times New Roman" w:hAnsi="Times New Roman"/>
          <w:sz w:val="24"/>
          <w:szCs w:val="24"/>
        </w:rPr>
        <w:t>Общий объем выпуска хлеба, хлебобулочных и кондитерских изделий предприятиями всех форм собственности района за 2018 год составил 7</w:t>
      </w:r>
      <w:r w:rsidR="00FB3659">
        <w:rPr>
          <w:rFonts w:ascii="Times New Roman" w:hAnsi="Times New Roman"/>
          <w:sz w:val="24"/>
          <w:szCs w:val="24"/>
        </w:rPr>
        <w:t>07,05 тонн, что составляет 114</w:t>
      </w:r>
      <w:r w:rsidRPr="00E96670">
        <w:rPr>
          <w:rFonts w:ascii="Times New Roman" w:hAnsi="Times New Roman"/>
          <w:sz w:val="24"/>
          <w:szCs w:val="24"/>
        </w:rPr>
        <w:t>% к уровню 2017 года (2017 год – 620 тонн</w:t>
      </w:r>
      <w:r w:rsidRPr="00261439">
        <w:rPr>
          <w:rFonts w:ascii="Times New Roman" w:hAnsi="Times New Roman"/>
          <w:sz w:val="24"/>
          <w:szCs w:val="24"/>
        </w:rPr>
        <w:t xml:space="preserve">). </w:t>
      </w:r>
    </w:p>
    <w:p w:rsidR="00B7256C" w:rsidRPr="00B7256C" w:rsidRDefault="00B7256C" w:rsidP="00B72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7256C" w:rsidRPr="001C1447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14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1.3.Инвестиции</w:t>
      </w:r>
    </w:p>
    <w:p w:rsidR="00B7256C" w:rsidRPr="000F0B97" w:rsidRDefault="00B7256C" w:rsidP="00B7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97">
        <w:rPr>
          <w:rFonts w:ascii="Times New Roman" w:eastAsia="Times New Roman" w:hAnsi="Times New Roman"/>
          <w:sz w:val="24"/>
          <w:szCs w:val="24"/>
          <w:lang w:eastAsia="ru-RU"/>
        </w:rPr>
        <w:t>Объем инвестиций в основной капитал по крупным и средним предприя</w:t>
      </w:r>
      <w:r w:rsidR="000F0B97" w:rsidRPr="000F0B97">
        <w:rPr>
          <w:rFonts w:ascii="Times New Roman" w:eastAsia="Times New Roman" w:hAnsi="Times New Roman"/>
          <w:sz w:val="24"/>
          <w:szCs w:val="24"/>
          <w:lang w:eastAsia="ru-RU"/>
        </w:rPr>
        <w:t>тиям за 2018 год составил в объеме 129 053,7 млн. рублей или 101,3</w:t>
      </w:r>
      <w:r w:rsidRPr="000F0B97">
        <w:rPr>
          <w:rFonts w:ascii="Times New Roman" w:eastAsia="Times New Roman" w:hAnsi="Times New Roman"/>
          <w:sz w:val="24"/>
          <w:szCs w:val="24"/>
          <w:lang w:eastAsia="ru-RU"/>
        </w:rPr>
        <w:t>% в сопоставимых ценах к 2016 году.</w:t>
      </w:r>
    </w:p>
    <w:p w:rsidR="00B7256C" w:rsidRPr="008A0FF0" w:rsidRDefault="00B7256C" w:rsidP="00B72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Основную долю в структуре инвестиций занимают собст</w:t>
      </w:r>
      <w:r w:rsidR="008A0FF0" w:rsidRPr="008A0FF0">
        <w:rPr>
          <w:rFonts w:ascii="Times New Roman" w:eastAsia="Times New Roman" w:hAnsi="Times New Roman"/>
          <w:sz w:val="24"/>
          <w:szCs w:val="24"/>
          <w:lang w:eastAsia="ru-RU"/>
        </w:rPr>
        <w:t>венные средства предприятий – 80</w:t>
      </w: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%, доля пр</w:t>
      </w:r>
      <w:r w:rsidR="008A0FF0" w:rsidRPr="008A0FF0">
        <w:rPr>
          <w:rFonts w:ascii="Times New Roman" w:eastAsia="Times New Roman" w:hAnsi="Times New Roman"/>
          <w:sz w:val="24"/>
          <w:szCs w:val="24"/>
          <w:lang w:eastAsia="ru-RU"/>
        </w:rPr>
        <w:t>ивлеченных средств составляет 20</w:t>
      </w: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7256C" w:rsidRPr="008A0FF0" w:rsidRDefault="00B7256C" w:rsidP="00B72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На протяжении ряда лет Ханты-Мансийский район входит в тройку лидеров по показателю объем инвестиций на душу населения среди МО Югры.</w:t>
      </w:r>
    </w:p>
    <w:p w:rsidR="008A0FF0" w:rsidRPr="008A0FF0" w:rsidRDefault="008A0FF0" w:rsidP="008A0F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В 2018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8A0FF0" w:rsidRPr="008A0FF0" w:rsidRDefault="008A0FF0" w:rsidP="008A0F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A0FF0">
        <w:rPr>
          <w:rFonts w:ascii="Times New Roman" w:eastAsia="Times New Roman" w:hAnsi="Times New Roman"/>
          <w:sz w:val="24"/>
          <w:szCs w:val="24"/>
          <w:lang w:eastAsia="zh-CN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2018 год (распоряжение администрации Ханты-Мансийского района от 23.03.2018 № 274-р);</w:t>
      </w:r>
    </w:p>
    <w:p w:rsidR="008A0FF0" w:rsidRPr="008A0FF0" w:rsidRDefault="008A0FF0" w:rsidP="008A0F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проведено 5 заседаний Совета по вопросам развития инвестиционной деятельности при администрации Ханты-Мансийского района, в рамках которого было рассмотрено 17 вопросов;</w:t>
      </w:r>
    </w:p>
    <w:p w:rsidR="008A0FF0" w:rsidRPr="008A0FF0" w:rsidRDefault="008A0FF0" w:rsidP="008A0FF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утверждено инвестиционное послание главы Ханты-Мансийского района на 2018 год (распоряжение главы Ханты-Мансийского района от 30.03.2018 № 4-рг);</w:t>
      </w:r>
    </w:p>
    <w:p w:rsidR="008A0FF0" w:rsidRPr="008A0FF0" w:rsidRDefault="008A0FF0" w:rsidP="008A0FF0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eastAsia="Times New Roman" w:hAnsi="Times New Roman"/>
          <w:sz w:val="24"/>
          <w:szCs w:val="24"/>
          <w:lang w:eastAsia="ru-RU"/>
        </w:rPr>
        <w:t>утвержден регламент сопровождения инвестиционных проектов по принципу «одного окна» на территории Ханты-Мансийского района (распоряжение администрации Ханты-Мансийского района от 13.02.2018 № 146-р);</w:t>
      </w:r>
    </w:p>
    <w:p w:rsidR="008A0FF0" w:rsidRPr="008A0FF0" w:rsidRDefault="008A0FF0" w:rsidP="008A0FF0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F0">
        <w:rPr>
          <w:rFonts w:ascii="Times New Roman" w:hAnsi="Times New Roman"/>
          <w:sz w:val="24"/>
          <w:szCs w:val="24"/>
        </w:rPr>
        <w:t>В 2018 году продолжена реализация инвестиционных проектов на территории района. Итоги о ходе их реализации ежеквартально размещаются на официальном сайте администрации района в разделе «Инвестиционная деятельность».</w:t>
      </w:r>
      <w:r w:rsidRPr="008A0FF0">
        <w:rPr>
          <w:rFonts w:ascii="Times New Roman" w:hAnsi="Times New Roman"/>
          <w:sz w:val="24"/>
          <w:szCs w:val="24"/>
        </w:rPr>
        <w:tab/>
      </w:r>
    </w:p>
    <w:p w:rsidR="00B7256C" w:rsidRPr="00B7256C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256C" w:rsidRPr="00BB7EBD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7E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1.4.Занятость населения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По данным казенного учреждения Ханты-Мансийского автономного округа – Югры «Ханты-Мансийский Центр занятости населения» (далее – Центр занятости) численность безработных граждан,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оящих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на регистрационном учете, на 1 января 2019 составила 183 человека, что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на 11 человек меньше аналог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ичного показателя по состоянию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на 1 января 2018 года (194 человека).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ленность граждан, обратившихся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Центр занятости за содействи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в поиске подходящей работы,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составила 1 040 человек, что на 28,9% больше показателя за 2017 год (807 человек),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из них трудоустроено 236 человек, что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на 32,2% меньше, чем за 2017 год (348 человек).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2019 года уровень регистрируемой безработицы снизился до 0,89% (на 1 января 2018 года – 0,97%).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течение 2018 года о предстоящем сокращении 14 организаций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уведомили 58 человек, из них фактически сокращены и обратились в Центр занятости 14 человек, находящихся под риском увольнения – 44 человека.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общественных работ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работы, как правило, обеспечивают сохранение мотивации к труду, временную занятость и материальную поддержку граждан, испытывающих проблемы с трудоустройством. Поэтому участниками общественных работ,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преимущественно, являются граждане,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относящиеся к социально-незащищенным категориям, но в последнее время на общественные работы соглашаются граждане с более высокой квалификацией с целью обеспечения временной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трудозанятости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поиска подходящей работы.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2018 года Центром занятости заключено 10 договоров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совместной деятельности с работодателями района по создан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 xml:space="preserve">ию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345 рабочих мест. В 2018 году в мероприятии приняли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345 человек,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из которых 258 – безр</w:t>
      </w:r>
      <w:r w:rsidR="00483C9C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аботных граждан (в 2017 году –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378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человек, из них безработных 246 человек). Основными работодателями являлись: МАУ «ОМЦ», а также индивидуальные предприниматели.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выполняемых общественных работ стали ремонт и содержание объектов внешнего благоустройства поселков, подсобные работы.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заключено 10 договоров по организации временного трудоустройства несовершеннолетних граждан, которыми предусмотрено создание 496 рабочих мест для трудоустройства подростков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Фактически приняли участие в мероприятии 496 человек (2017 год – 474 человека).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zh-CN"/>
        </w:rPr>
        <w:t>Организация временного трудоустройства безработных граждан, испытывающих трудности в поиске работы</w:t>
      </w:r>
      <w:r w:rsidRPr="001B6909">
        <w:rPr>
          <w:rFonts w:eastAsia="Times New Roman" w:cs="Calibri"/>
          <w:i/>
          <w:sz w:val="24"/>
          <w:szCs w:val="24"/>
          <w:lang w:eastAsia="zh-CN"/>
        </w:rPr>
        <w:t xml:space="preserve">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данного направления в течение 2018 года заключено 2 договора на создание 38 рабочих мест. В мероприятии приняли участие 38 человек (в 2017 году в данном мероприятии приняли участие 34 человека).</w:t>
      </w:r>
      <w:r w:rsidRPr="001B6909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</w:r>
      <w:r w:rsidRPr="001B69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данного мероприятия в 2018 году заключен 1 договор на создание 10 рабочих мест, приняли участие 10 человек (в 2017 году – 10 человек).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(специальности)</w:t>
      </w:r>
      <w:r w:rsidRPr="001B690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2018 году заключен договор с муниципальным казе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нным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общеобразовательным учреждением района «ООШ </w:t>
      </w: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д.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Ягурьях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», создано 1 рабочее место.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Организация временного трудоустройства граждан </w:t>
      </w:r>
      <w:proofErr w:type="spellStart"/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предпенсионного</w:t>
      </w:r>
      <w:proofErr w:type="spellEnd"/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пенсионного возраста: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заключен договор с индивидуальным предпринимателем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Поступинской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 М.С. п.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Горноправдинск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, создано 1 рабочее место.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Содействие развитию гибких форм занятости и надомного труда </w:t>
      </w:r>
      <w:proofErr w:type="spellStart"/>
      <w:r w:rsidRPr="001B6909">
        <w:rPr>
          <w:rFonts w:ascii="Times New Roman" w:eastAsia="Times New Roman" w:hAnsi="Times New Roman"/>
          <w:i/>
          <w:sz w:val="24"/>
          <w:szCs w:val="24"/>
          <w:lang w:eastAsia="zh-CN"/>
        </w:rPr>
        <w:t>самозанятости</w:t>
      </w:r>
      <w:proofErr w:type="spellEnd"/>
      <w:r w:rsidRPr="001B690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населения:</w:t>
      </w: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 заключен договор с индивидуальным предпринимателем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Поступинской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 М.С. п.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Горноправдинск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, создано 1 рабочее место.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Содействие в трудоустройстве незанятых инвалидов на оборудованные (оснащенные) для них рабочие места 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2018 году заключено 3 договора</w:t>
      </w:r>
      <w:r w:rsidR="00362D44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организациями и учреждениями, создано 3 рабочих места.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Содействие временному трудоустройству лиц, осужденных к наказаниям в виде исправительных работ, не имеющих основного места работы.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заключено 5 договоров</w:t>
      </w:r>
      <w:r w:rsidR="00362D44">
        <w:rPr>
          <w:rFonts w:ascii="Times New Roman" w:eastAsia="Times New Roman" w:hAnsi="Times New Roman"/>
          <w:sz w:val="24"/>
          <w:szCs w:val="24"/>
          <w:lang w:eastAsia="ru-RU"/>
        </w:rPr>
        <w:t>, создано 5 рабочих мест.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Самозанятость</w:t>
      </w:r>
      <w:proofErr w:type="spellEnd"/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программы содействия занятости населения Ханты-Мансийского автономного округа – Югры в 2018 году 5 безработных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граждан заключили договоры о предоставлении субсидии на организацию собственного дела.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Кроме того, субъектами малого предпринимательства, ранее получившими государственную поддержку на создание собственного дела, фактически трудоустроено 65 безработных граждан, в том числе на временные общественные работы – 63 человека, на постоянные рабочие места – 2 человека.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Профессиональное обучение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характерной чертой рынка труда Ханты-Мансийского района является квалификационное несоответствие спроса и предложения рабочей силы. Работодатели нуждаются в квалифицированных специалистах с профессиональным образованием, наличием смежных профессий, опытом работы, что часто отсутствует у безработных граждан, состоящих на учете в Центре занятости. 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Профессиональное обучение, переподготовка кадров и повышение квалификации приобретают приоритетное значение в системе мер по повышению качества рабочей силы. План по </w:t>
      </w:r>
      <w:proofErr w:type="spellStart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профобучению</w:t>
      </w:r>
      <w:proofErr w:type="spellEnd"/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 безработных граждан на 2018 год составлял 24 человека, в том числе 20 человек из числа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безработных граждан, 4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родителя, осуществляющих уход за детьми в возрасте до 3 лет.</w:t>
      </w:r>
    </w:p>
    <w:p w:rsidR="001B6909" w:rsidRPr="001B6909" w:rsidRDefault="001B6909" w:rsidP="00362D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течение 2018 года проф</w:t>
      </w:r>
      <w:r w:rsidR="00B7772B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ессиональное обучение получили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14 человек, из них 12 безработных граждан и 2 родителя, осуществляющих уход</w:t>
      </w:r>
      <w:r w:rsidR="00362D4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детьми в возрасте до 3 лет.</w:t>
      </w:r>
    </w:p>
    <w:p w:rsidR="001B6909" w:rsidRPr="001B6909" w:rsidRDefault="001B6909" w:rsidP="001B69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Мероприятия, проводимые администрацией Ханты-Мансийского района с целью снижения уровня безработицы в 2018 году</w:t>
      </w:r>
    </w:p>
    <w:p w:rsidR="001B6909" w:rsidRPr="001B6909" w:rsidRDefault="001B6909" w:rsidP="00362D4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комплексный план мероприятий по стабилизации ситуации на рынке труда Ханты-Мансийского района на 2018 год, в рамках реализации которого было запланировано создание 537 рабочих мест, в том числе: 145 – постоянных, 392 – временных. Фактически за 2018 год на территории района создано 587 рабочих мест (или 109,3% </w:t>
      </w:r>
      <w:r w:rsidR="00362D44">
        <w:rPr>
          <w:rFonts w:ascii="Times New Roman" w:eastAsia="Times New Roman" w:hAnsi="Times New Roman"/>
          <w:sz w:val="24"/>
          <w:szCs w:val="24"/>
          <w:lang w:eastAsia="ru-RU"/>
        </w:rPr>
        <w:t xml:space="preserve">от годового плана), в том числе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постоянных рабочих мест – 181, временных рабочих мест – 406 (временные общественные работы). 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Принята и реализуется муниципальная программа «Содействие занятости населения в Ханты-Мансийском районе на 2018 – 2020 годы», в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рамках которой в 2018 году на организацию общественных работ из бюджета района предусмотрены бюджетные ассигнования в размере 13 652,4 тыс. рублей для создания</w:t>
      </w:r>
      <w:r w:rsidRPr="001B6909">
        <w:rPr>
          <w:rFonts w:ascii="Times New Roman" w:hAnsi="Times New Roman"/>
          <w:sz w:val="24"/>
          <w:szCs w:val="24"/>
          <w:lang w:eastAsia="ru-RU"/>
        </w:rPr>
        <w:t xml:space="preserve"> 274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временных рабочих мест, 37 рабочих мест </w:t>
      </w:r>
      <w:r w:rsidRPr="001B6909">
        <w:rPr>
          <w:rFonts w:ascii="Times New Roman" w:hAnsi="Times New Roman"/>
          <w:sz w:val="24"/>
          <w:szCs w:val="24"/>
          <w:lang w:eastAsia="zh-CN"/>
        </w:rPr>
        <w:t>для</w:t>
      </w:r>
      <w:r w:rsidRPr="001B690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1B6909">
        <w:rPr>
          <w:rFonts w:ascii="Times New Roman" w:hAnsi="Times New Roman"/>
          <w:sz w:val="24"/>
          <w:szCs w:val="24"/>
          <w:lang w:eastAsia="zh-CN"/>
        </w:rPr>
        <w:t>безработных граждан, испытывающих трудности в поиске работы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1B6909" w:rsidRPr="001B6909" w:rsidRDefault="001B6909" w:rsidP="001B6909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Финансовое исполнение мероприятия «Организация общественных работ» по состоянию на 01.01.2019 составляет 100%.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активизации работы с субъектами малого предпринимательства и безработными гражданами был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района, Центра занятости населения, Фонда поддержки предпринимательства Югры. 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В 2018 году были проведены выездные консультации в 1</w:t>
      </w:r>
      <w:r w:rsidR="00362D44">
        <w:rPr>
          <w:rFonts w:ascii="Times New Roman" w:eastAsia="Times New Roman" w:hAnsi="Times New Roman"/>
          <w:sz w:val="24"/>
          <w:szCs w:val="24"/>
          <w:lang w:eastAsia="zh-CN"/>
        </w:rPr>
        <w:t>8 населенных пунктах района</w:t>
      </w:r>
      <w:r w:rsidRPr="001B6909">
        <w:rPr>
          <w:rFonts w:ascii="Times New Roman" w:eastAsia="Times New Roman" w:hAnsi="Times New Roman"/>
          <w:sz w:val="24"/>
          <w:szCs w:val="24"/>
          <w:lang w:eastAsia="zh-CN"/>
        </w:rPr>
        <w:t>, в рамках которых 110 граждан района проинформированы об услугах Центра занятости, возможностях участия в мероприятиях государственных и муниципальных программ, о существующих формах поддержки субъектов малого и среднего предпринимательства.</w:t>
      </w:r>
    </w:p>
    <w:p w:rsidR="001B6909" w:rsidRPr="001B6909" w:rsidRDefault="001B6909" w:rsidP="001B690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i/>
          <w:sz w:val="24"/>
          <w:szCs w:val="24"/>
          <w:lang w:eastAsia="ru-RU"/>
        </w:rPr>
        <w:t>Легализация трудовых отношений</w:t>
      </w:r>
    </w:p>
    <w:p w:rsidR="001B6909" w:rsidRPr="001B6909" w:rsidRDefault="001B6909" w:rsidP="001B690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была продлена деятельность по снижению неформальной занятости. </w:t>
      </w:r>
    </w:p>
    <w:p w:rsidR="001B6909" w:rsidRPr="001B6909" w:rsidRDefault="001B6909" w:rsidP="001B690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Правительством Ханты-Мансийского автономного округа – Югры муниципальному образованию Ханты-Мансийский район был установлен контрольный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показатель на 2018 год по снижению численности активных лиц, не осуществляющих трудовую деятельность, в количестве 282 человека.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909"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  <w:r w:rsidRPr="001B69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информирования работодателей о деятельности администрации в части легализации неформальных трудовых отношений, разъяснения трудового законодательства и последствиях его несоблюдения в отчетном году проводились </w:t>
      </w:r>
      <w:r w:rsidRPr="001B6909">
        <w:rPr>
          <w:rFonts w:ascii="Times New Roman" w:hAnsi="Times New Roman"/>
          <w:sz w:val="24"/>
          <w:szCs w:val="24"/>
          <w:lang w:eastAsia="ru-RU"/>
        </w:rPr>
        <w:t xml:space="preserve">выездные мероприятия в населенные пункты Ханты-Мансийского района. 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результате комплексных мер, реализованных администрацией района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совместно с Центром занятости населения, Фондом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поддержки предпринимательства Югры,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в 2018 году количество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работников, с которыми были заключены трудовые договоры, составило 353</w:t>
      </w:r>
      <w:r w:rsidRPr="001B6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6909">
        <w:rPr>
          <w:rFonts w:ascii="Times New Roman" w:eastAsia="Times New Roman" w:hAnsi="Times New Roman"/>
          <w:sz w:val="24"/>
          <w:szCs w:val="24"/>
          <w:lang w:eastAsia="ru-RU"/>
        </w:rPr>
        <w:t>человек или 125,2% от контрольного показателя.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6909">
        <w:rPr>
          <w:rFonts w:ascii="Times New Roman" w:hAnsi="Times New Roman"/>
          <w:sz w:val="24"/>
          <w:szCs w:val="24"/>
          <w:lang w:eastAsia="zh-CN"/>
        </w:rPr>
        <w:t>Всего за отчетный 2018 год предоставлено более 20 консультаций работодателям района по отличительным особенностям между трудовыми договорами и договорами гражданско-правового характера.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6909">
        <w:rPr>
          <w:rFonts w:ascii="Times New Roman" w:hAnsi="Times New Roman"/>
          <w:sz w:val="24"/>
          <w:szCs w:val="24"/>
          <w:lang w:eastAsia="zh-CN"/>
        </w:rPr>
        <w:t>С 2010 года на территории района работает постоянно действующая муниципальная трехсторонняя комиссия по регулированию социально-трудовых отношений в рамках заключенного трехстороннего соглашения между органами местного самоуправления Ханты-Мансийского муниципального образования, ассоциацией работодателей Ханты-Мансийского района, профсоюзной организацией работников народного образования и науки Ханты-Мансийского района на 2018 – 2020 годы.</w:t>
      </w:r>
    </w:p>
    <w:p w:rsidR="001B6909" w:rsidRPr="001B6909" w:rsidRDefault="001B6909" w:rsidP="001B6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09">
        <w:rPr>
          <w:rFonts w:ascii="Times New Roman" w:hAnsi="Times New Roman"/>
          <w:sz w:val="24"/>
          <w:szCs w:val="24"/>
          <w:lang w:eastAsia="zh-CN"/>
        </w:rPr>
        <w:t>В 2018 году спорных вопросов по регулированию социально-трудовых отношений работников бюджетных отраслей на уровне муниципального образования Ханты-Мансийский район не возникало.</w:t>
      </w:r>
    </w:p>
    <w:p w:rsidR="00B7256C" w:rsidRPr="00B7256C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256C" w:rsidRPr="002A2E06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2E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1.5.Денежные доходы и расходы населения</w:t>
      </w:r>
    </w:p>
    <w:p w:rsidR="00B7256C" w:rsidRDefault="001D10BD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предварительной оценке, с</w:t>
      </w:r>
      <w:r w:rsidR="00B7256C" w:rsidRPr="001D10BD">
        <w:rPr>
          <w:rFonts w:ascii="Times New Roman" w:eastAsia="Times New Roman" w:hAnsi="Times New Roman"/>
          <w:sz w:val="24"/>
          <w:szCs w:val="24"/>
          <w:lang w:eastAsia="ru-RU"/>
        </w:rPr>
        <w:t>реднедушевые денежные доходы населения Ханты-Мансийского района, по предварительно</w:t>
      </w: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 xml:space="preserve">й оценке, за 2018 год составили 74 037,7 рублей или 106,8% к </w:t>
      </w:r>
      <w:r w:rsidRPr="00576E85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256C" w:rsidRPr="00576E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Реальные располагаемые денежные доходы на душу населения (доходы за вычетом обязательных</w:t>
      </w:r>
      <w:r w:rsidR="00B7256C" w:rsidRPr="001D10B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платежей, скорректированные на индекс по</w:t>
      </w: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>требительских цен) составили 98,3</w:t>
      </w:r>
      <w:r w:rsidR="00B7256C" w:rsidRPr="001D10BD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393F96" w:rsidRDefault="00C01CF6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CF6">
        <w:rPr>
          <w:rFonts w:ascii="Times New Roman" w:hAnsi="Times New Roman"/>
          <w:sz w:val="24"/>
          <w:szCs w:val="24"/>
        </w:rPr>
        <w:t>Основными источниками формирования денежных доходов населения являются оплата труда и трансферты населению (пенсии и пособия, стипендии).</w:t>
      </w:r>
    </w:p>
    <w:p w:rsidR="00C01CF6" w:rsidRPr="00C01CF6" w:rsidRDefault="00393F96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F96">
        <w:rPr>
          <w:rFonts w:ascii="Times New Roman" w:eastAsia="Times New Roman" w:hAnsi="Times New Roman"/>
          <w:i/>
          <w:sz w:val="24"/>
          <w:szCs w:val="24"/>
          <w:lang w:eastAsia="ru-RU"/>
        </w:rPr>
        <w:t>Заработная плата</w:t>
      </w:r>
    </w:p>
    <w:p w:rsidR="007F5D15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предварительной оценке, на оплату труда работников организаций, не относящихся к субъектам малого предпринимательст</w:t>
      </w:r>
      <w:r w:rsidR="001D10BD" w:rsidRPr="001D10BD">
        <w:rPr>
          <w:rFonts w:ascii="Times New Roman" w:eastAsia="Times New Roman" w:hAnsi="Times New Roman"/>
          <w:sz w:val="24"/>
          <w:szCs w:val="24"/>
          <w:lang w:eastAsia="ru-RU"/>
        </w:rPr>
        <w:t>ва, на территории района за 2018</w:t>
      </w: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направлен</w:t>
      </w:r>
      <w:r w:rsidR="001D10BD" w:rsidRPr="001D10BD">
        <w:rPr>
          <w:rFonts w:ascii="Times New Roman" w:eastAsia="Times New Roman" w:hAnsi="Times New Roman"/>
          <w:sz w:val="24"/>
          <w:szCs w:val="24"/>
          <w:lang w:eastAsia="ru-RU"/>
        </w:rPr>
        <w:t>о 17 292,8</w:t>
      </w:r>
      <w:r w:rsidRPr="001D10BD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</w:t>
      </w:r>
      <w:r w:rsidRPr="001D10B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520109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D10B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</w:t>
      </w:r>
      <w:r w:rsidRPr="001D10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реднемесячная </w:t>
      </w:r>
      <w:r w:rsidR="0052010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начисленная </w:t>
      </w:r>
      <w:r w:rsidRPr="001D10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зарабо</w:t>
      </w:r>
      <w:r w:rsidR="0052010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тная плата одного работающего в</w:t>
      </w:r>
      <w:r w:rsidRPr="001D10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2010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организациях (без субъектов малого предпринимательства) </w:t>
      </w:r>
      <w:r w:rsidR="001D10BD" w:rsidRPr="001D10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2018</w:t>
      </w:r>
      <w:r w:rsidRPr="001D10B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год составила</w:t>
      </w:r>
      <w:r w:rsidR="00E53920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="00E53920" w:rsidRPr="00E5392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80 934</w:t>
      </w:r>
      <w:r w:rsidRPr="00E53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E8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рублей или</w:t>
      </w:r>
      <w:r w:rsidR="00576E85" w:rsidRPr="00576E8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106,3% к аналогичному периоду 2017</w:t>
      </w:r>
      <w:r w:rsidRPr="00576E8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года</w:t>
      </w:r>
      <w:r w:rsidR="00576E85" w:rsidRPr="00576E8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(75 869 рублей). </w:t>
      </w:r>
    </w:p>
    <w:p w:rsidR="00B7256C" w:rsidRDefault="00576E85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576E85">
        <w:rPr>
          <w:rFonts w:ascii="Times New Roman" w:hAnsi="Times New Roman"/>
          <w:snapToGrid w:val="0"/>
          <w:sz w:val="24"/>
          <w:szCs w:val="24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</w:t>
      </w:r>
      <w:r w:rsidR="00520109">
        <w:rPr>
          <w:rFonts w:ascii="Times New Roman" w:hAnsi="Times New Roman"/>
          <w:snapToGrid w:val="0"/>
          <w:sz w:val="24"/>
          <w:szCs w:val="24"/>
        </w:rPr>
        <w:t xml:space="preserve"> деятельности, достигает 97 535</w:t>
      </w:r>
      <w:r w:rsidRPr="00576E85">
        <w:rPr>
          <w:rFonts w:ascii="Times New Roman" w:hAnsi="Times New Roman"/>
          <w:snapToGrid w:val="0"/>
          <w:sz w:val="24"/>
          <w:szCs w:val="24"/>
        </w:rPr>
        <w:t xml:space="preserve"> рублей.</w:t>
      </w:r>
    </w:p>
    <w:p w:rsidR="007F5D15" w:rsidRDefault="007F5D15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01CF6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7A32" w:rsidRDefault="00A57A32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7A32" w:rsidRDefault="00A57A32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7A32" w:rsidRDefault="00A57A32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7A32" w:rsidRDefault="00A57A32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1CF6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5D15" w:rsidRDefault="007F5D15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01CF6" w:rsidRDefault="00C01CF6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0109" w:rsidRDefault="007F5D15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D15">
        <w:rPr>
          <w:rFonts w:ascii="Times New Roman" w:hAnsi="Times New Roman"/>
          <w:b/>
          <w:bCs/>
          <w:sz w:val="24"/>
          <w:szCs w:val="24"/>
        </w:rPr>
        <w:lastRenderedPageBreak/>
        <w:t>Средняя заработная плата ра</w:t>
      </w:r>
      <w:r>
        <w:rPr>
          <w:rFonts w:ascii="Times New Roman" w:hAnsi="Times New Roman"/>
          <w:b/>
          <w:bCs/>
          <w:sz w:val="24"/>
          <w:szCs w:val="24"/>
        </w:rPr>
        <w:t xml:space="preserve">ботников организаций </w:t>
      </w:r>
      <w:r w:rsidRPr="007F5D15">
        <w:rPr>
          <w:rFonts w:ascii="Times New Roman" w:hAnsi="Times New Roman"/>
          <w:b/>
          <w:bCs/>
          <w:sz w:val="24"/>
          <w:szCs w:val="24"/>
        </w:rPr>
        <w:t>по отдельным видам эко</w:t>
      </w:r>
      <w:r>
        <w:rPr>
          <w:rFonts w:ascii="Times New Roman" w:hAnsi="Times New Roman"/>
          <w:b/>
          <w:bCs/>
          <w:sz w:val="24"/>
          <w:szCs w:val="24"/>
        </w:rPr>
        <w:t>номической деятельности в 2018 году (руб.)</w:t>
      </w:r>
    </w:p>
    <w:p w:rsidR="003501E4" w:rsidRPr="007F5D15" w:rsidRDefault="003501E4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520109" w:rsidRDefault="00520109" w:rsidP="005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FA9211" wp14:editId="40C281FF">
            <wp:extent cx="5891841" cy="301924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109" w:rsidRDefault="00520109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5D15" w:rsidRDefault="007F5D15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5D15" w:rsidRPr="00393F96" w:rsidRDefault="00393F96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3F96">
        <w:rPr>
          <w:rFonts w:ascii="Times New Roman" w:hAnsi="Times New Roman"/>
          <w:i/>
          <w:sz w:val="24"/>
          <w:szCs w:val="24"/>
        </w:rPr>
        <w:t>Пенсии</w:t>
      </w:r>
    </w:p>
    <w:p w:rsidR="007F36E8" w:rsidRPr="00A85BB0" w:rsidRDefault="00393F9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BB0">
        <w:rPr>
          <w:rFonts w:ascii="Times New Roman" w:hAnsi="Times New Roman"/>
          <w:sz w:val="24"/>
          <w:szCs w:val="24"/>
        </w:rPr>
        <w:t xml:space="preserve">По данным администраций сельских поселений Ханты-Мансийского района </w:t>
      </w:r>
      <w:r w:rsidR="007F36E8" w:rsidRPr="00A85BB0">
        <w:rPr>
          <w:rFonts w:ascii="Times New Roman" w:hAnsi="Times New Roman"/>
          <w:sz w:val="24"/>
          <w:szCs w:val="24"/>
        </w:rPr>
        <w:t>численность пенсионеров составила</w:t>
      </w:r>
      <w:r w:rsidRPr="00A85BB0">
        <w:rPr>
          <w:rFonts w:ascii="Times New Roman" w:hAnsi="Times New Roman"/>
          <w:sz w:val="24"/>
          <w:szCs w:val="24"/>
        </w:rPr>
        <w:t xml:space="preserve"> 5 162</w:t>
      </w:r>
      <w:r w:rsidR="007F36E8" w:rsidRPr="00A85BB0">
        <w:rPr>
          <w:rFonts w:ascii="Times New Roman" w:hAnsi="Times New Roman"/>
          <w:sz w:val="24"/>
          <w:szCs w:val="24"/>
        </w:rPr>
        <w:t xml:space="preserve"> человек.</w:t>
      </w:r>
    </w:p>
    <w:p w:rsidR="007F36E8" w:rsidRPr="00A85BB0" w:rsidRDefault="007F36E8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BB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Среднемесячный размер назначенных пенсий за 2018 год составил</w:t>
      </w:r>
      <w:r w:rsidRPr="00A85BB0">
        <w:rPr>
          <w:rFonts w:ascii="Times New Roman" w:hAnsi="Times New Roman"/>
          <w:sz w:val="24"/>
          <w:szCs w:val="24"/>
        </w:rPr>
        <w:t xml:space="preserve">  20 727,2  рубля, что в 1,7 раз</w:t>
      </w:r>
      <w:r w:rsidR="00C01CF6" w:rsidRPr="00A85BB0">
        <w:rPr>
          <w:rFonts w:ascii="Times New Roman" w:hAnsi="Times New Roman"/>
          <w:sz w:val="24"/>
          <w:szCs w:val="24"/>
        </w:rPr>
        <w:t xml:space="preserve"> превышает бюджет прожиточного минимума для пенсионеров</w:t>
      </w:r>
      <w:r w:rsidRPr="00A85BB0">
        <w:rPr>
          <w:rFonts w:ascii="Times New Roman" w:hAnsi="Times New Roman"/>
          <w:sz w:val="24"/>
          <w:szCs w:val="24"/>
        </w:rPr>
        <w:t xml:space="preserve"> (11 898 рублей)</w:t>
      </w:r>
      <w:r w:rsidR="00C01CF6" w:rsidRPr="00A85BB0">
        <w:rPr>
          <w:rFonts w:ascii="Times New Roman" w:hAnsi="Times New Roman"/>
          <w:sz w:val="24"/>
          <w:szCs w:val="24"/>
        </w:rPr>
        <w:t xml:space="preserve">. </w:t>
      </w:r>
      <w:r w:rsidR="007E2DE6">
        <w:rPr>
          <w:rFonts w:ascii="Times New Roman" w:hAnsi="Times New Roman"/>
          <w:sz w:val="24"/>
          <w:szCs w:val="24"/>
        </w:rPr>
        <w:t xml:space="preserve">Рост среднемесячного размера пенсии </w:t>
      </w:r>
      <w:r w:rsidR="00A85BB0" w:rsidRPr="00576E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аналогичному показателю 2017 года </w:t>
      </w:r>
      <w:r w:rsidR="007E2DE6" w:rsidRPr="00576E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104,5% </w:t>
      </w:r>
      <w:r w:rsidR="00A85BB0" w:rsidRPr="00576E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(19 843,8 рублей).</w:t>
      </w:r>
      <w:r w:rsidR="007E2DE6" w:rsidRPr="00576E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B7256C" w:rsidRPr="00A85BB0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BB0">
        <w:rPr>
          <w:rFonts w:ascii="Times New Roman" w:hAnsi="Times New Roman"/>
          <w:sz w:val="24"/>
          <w:szCs w:val="24"/>
        </w:rPr>
        <w:t>Средний размер пенсий</w:t>
      </w:r>
      <w:r w:rsidR="007F36E8" w:rsidRPr="00A85BB0">
        <w:rPr>
          <w:rFonts w:ascii="Times New Roman" w:hAnsi="Times New Roman"/>
          <w:sz w:val="24"/>
          <w:szCs w:val="24"/>
        </w:rPr>
        <w:t xml:space="preserve"> по возрасту состав</w:t>
      </w:r>
      <w:r w:rsidR="00A85BB0">
        <w:rPr>
          <w:rFonts w:ascii="Times New Roman" w:hAnsi="Times New Roman"/>
          <w:sz w:val="24"/>
          <w:szCs w:val="24"/>
        </w:rPr>
        <w:t xml:space="preserve">ил </w:t>
      </w:r>
      <w:r w:rsidR="007F36E8" w:rsidRPr="00A85BB0">
        <w:rPr>
          <w:rFonts w:ascii="Times New Roman" w:hAnsi="Times New Roman"/>
          <w:sz w:val="24"/>
          <w:szCs w:val="24"/>
        </w:rPr>
        <w:t>22 109,57</w:t>
      </w:r>
      <w:r w:rsidRPr="00A85BB0">
        <w:rPr>
          <w:rFonts w:ascii="Times New Roman" w:hAnsi="Times New Roman"/>
          <w:sz w:val="24"/>
          <w:szCs w:val="24"/>
        </w:rPr>
        <w:t xml:space="preserve"> рублей, по инвалид</w:t>
      </w:r>
      <w:r w:rsidR="007F36E8" w:rsidRPr="00A85BB0">
        <w:rPr>
          <w:rFonts w:ascii="Times New Roman" w:hAnsi="Times New Roman"/>
          <w:sz w:val="24"/>
          <w:szCs w:val="24"/>
        </w:rPr>
        <w:t>ности – 14 028,03</w:t>
      </w:r>
      <w:r w:rsidRPr="00A85BB0">
        <w:rPr>
          <w:rFonts w:ascii="Times New Roman" w:hAnsi="Times New Roman"/>
          <w:sz w:val="24"/>
          <w:szCs w:val="24"/>
        </w:rPr>
        <w:t xml:space="preserve"> рублей, по случ</w:t>
      </w:r>
      <w:r w:rsidR="007F36E8" w:rsidRPr="00A85BB0">
        <w:rPr>
          <w:rFonts w:ascii="Times New Roman" w:hAnsi="Times New Roman"/>
          <w:sz w:val="24"/>
          <w:szCs w:val="24"/>
        </w:rPr>
        <w:t xml:space="preserve">аю потери кормильца – 9 439,06 </w:t>
      </w:r>
      <w:r w:rsidR="00A85BB0" w:rsidRPr="00A85BB0">
        <w:rPr>
          <w:rFonts w:ascii="Times New Roman" w:hAnsi="Times New Roman"/>
          <w:sz w:val="24"/>
          <w:szCs w:val="24"/>
        </w:rPr>
        <w:t xml:space="preserve"> рубля</w:t>
      </w:r>
      <w:r w:rsidR="007F36E8" w:rsidRPr="00A85BB0">
        <w:rPr>
          <w:rFonts w:ascii="Times New Roman" w:hAnsi="Times New Roman"/>
          <w:sz w:val="24"/>
          <w:szCs w:val="24"/>
        </w:rPr>
        <w:t>, соц</w:t>
      </w:r>
      <w:r w:rsidR="00A85BB0" w:rsidRPr="00A85BB0">
        <w:rPr>
          <w:rFonts w:ascii="Times New Roman" w:hAnsi="Times New Roman"/>
          <w:sz w:val="24"/>
          <w:szCs w:val="24"/>
        </w:rPr>
        <w:t>иальные пенсии</w:t>
      </w:r>
      <w:r w:rsidR="007F36E8" w:rsidRPr="00A85BB0">
        <w:rPr>
          <w:rFonts w:ascii="Times New Roman" w:hAnsi="Times New Roman"/>
          <w:sz w:val="24"/>
          <w:szCs w:val="24"/>
        </w:rPr>
        <w:t xml:space="preserve"> – 21 978,1</w:t>
      </w:r>
      <w:r w:rsidRPr="00A85BB0">
        <w:rPr>
          <w:rFonts w:ascii="Times New Roman" w:hAnsi="Times New Roman"/>
          <w:sz w:val="24"/>
          <w:szCs w:val="24"/>
        </w:rPr>
        <w:t xml:space="preserve"> рублей.</w:t>
      </w:r>
    </w:p>
    <w:p w:rsidR="00C01CF6" w:rsidRPr="00B7256C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FF0000"/>
          <w:kern w:val="2"/>
          <w:sz w:val="24"/>
          <w:szCs w:val="24"/>
          <w:lang w:eastAsia="ru-RU"/>
        </w:rPr>
      </w:pPr>
    </w:p>
    <w:p w:rsidR="00FF4442" w:rsidRDefault="00FF4442" w:rsidP="00FF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1.6. Потребительский рынок</w:t>
      </w:r>
    </w:p>
    <w:p w:rsidR="00FF4442" w:rsidRPr="00FF4442" w:rsidRDefault="00FF4442" w:rsidP="00FF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2019 года в реестр объектов торговли и общественного питания включено 133 магазина, 29 объектов нестационарной торговой сети, 83 предприятия общественного питания (в том числе 25 при учебных заведениях).</w:t>
      </w:r>
    </w:p>
    <w:p w:rsidR="00FF4442" w:rsidRPr="00FF4442" w:rsidRDefault="00FF4442" w:rsidP="00FF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В 2018 году введено в эксплуатацию два объекта торговли:</w:t>
      </w:r>
    </w:p>
    <w:p w:rsid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магазин "Шанс" в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еполово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 здания 157,8;</w:t>
      </w:r>
    </w:p>
    <w:p w:rsidR="00FF4442" w:rsidRP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магазин в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рки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, , площадь здания 77,8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442" w:rsidRPr="00FF4442" w:rsidRDefault="00FF4442" w:rsidP="00FF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оборот розничной торговли за 2018 год составил 2 399,6 млн. рублей или 103,3% к аналогичному показателю 2017 года в сопоставимых ценах. </w:t>
      </w:r>
    </w:p>
    <w:p w:rsid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2018 года на территории района работали 18 предприятий общественного питания общедоступной сети, 13 из которых находятся в населенных пунктах: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орноправдинск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с.Цингалы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п.Луговской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с.Селиярово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Шапша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остальные объекты питания – на межселенной территории. Деятельность по оказанию услуг общественного питания осуществляют 16 субъектов, из них 5 юридических лиц, </w:t>
      </w: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 индивидуальных предпринимателей. </w:t>
      </w:r>
    </w:p>
    <w:p w:rsid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</w:t>
      </w:r>
      <w:r w:rsidRPr="00FF4442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введено</w:t>
      </w:r>
      <w:r w:rsidRPr="00FF4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в эксплуатацию магазин-кафе  в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елиярово</w:t>
      </w:r>
      <w:proofErr w:type="spell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Платные услуги, предоставляемые населению на территории Ханты-Мансийского района, </w:t>
      </w:r>
      <w:proofErr w:type="gram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являю</w:t>
      </w:r>
      <w:r w:rsidR="007D2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proofErr w:type="spellEnd"/>
      <w:proofErr w:type="gramEnd"/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деятельности предприятий, организаций </w:t>
      </w: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всех форм собственности и предназначены для удовлетворения личных потребностей населения по их заказам.</w:t>
      </w:r>
    </w:p>
    <w:p w:rsid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По оценке, объем платных услуг населению, оказанных на территории района, за 2018 год составил 375,3 млн. рублей или 101,4% в сопоставимых ценах к аналогичному периоду 2017 года (362,6 млн. рублей).</w:t>
      </w:r>
      <w:r w:rsidRPr="00FF44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>В расчете на 1 жителя оказано услуг на сумму 18,7 тыс. рублей, что выше аналогичного показателя 2017 года на 2,2%.</w:t>
      </w:r>
    </w:p>
    <w:p w:rsidR="00FF4442" w:rsidRPr="00FF4442" w:rsidRDefault="00FF4442" w:rsidP="00FF4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Доминирующую роль в формировании объема платных услуг, как и в прежние годы, играют жилищно-коммунальные услуги, а также услуги связи. </w:t>
      </w:r>
    </w:p>
    <w:p w:rsidR="00B7256C" w:rsidRPr="00B7256C" w:rsidRDefault="00B7256C" w:rsidP="00FF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256C" w:rsidRPr="00FF4442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1.7.</w:t>
      </w:r>
      <w:proofErr w:type="gramStart"/>
      <w:r w:rsidRPr="00FF44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Криминогенная обстановка</w:t>
      </w:r>
      <w:proofErr w:type="gramEnd"/>
    </w:p>
    <w:p w:rsidR="00B7256C" w:rsidRPr="00FF4442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442">
        <w:rPr>
          <w:rFonts w:ascii="Times New Roman" w:eastAsia="Times New Roman" w:hAnsi="Times New Roman"/>
          <w:i/>
          <w:sz w:val="24"/>
          <w:szCs w:val="24"/>
          <w:lang w:eastAsia="ru-RU"/>
        </w:rPr>
        <w:t>Оперативно-служебная деятельность</w:t>
      </w:r>
    </w:p>
    <w:p w:rsidR="005D2D58" w:rsidRDefault="00656DAC" w:rsidP="00656D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AC">
        <w:rPr>
          <w:rFonts w:ascii="Times New Roman" w:eastAsia="Times New Roman" w:hAnsi="Times New Roman"/>
          <w:sz w:val="24"/>
          <w:szCs w:val="24"/>
          <w:lang w:eastAsia="ru-RU"/>
        </w:rPr>
        <w:t>По итогам 2018 года на территории Ханты-Мансийского района наблюдается спад числа зарегистрированных преступ</w:t>
      </w:r>
      <w:r w:rsidR="008203C2">
        <w:rPr>
          <w:rFonts w:ascii="Times New Roman" w:eastAsia="Times New Roman" w:hAnsi="Times New Roman"/>
          <w:sz w:val="24"/>
          <w:szCs w:val="24"/>
          <w:lang w:eastAsia="ru-RU"/>
        </w:rPr>
        <w:t>лений на 40 случаев или на 16,1</w:t>
      </w:r>
      <w:r w:rsidRPr="00656DA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5D2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2C0" w:rsidRDefault="00656DAC" w:rsidP="005D2D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ru-RU"/>
        </w:rPr>
      </w:pPr>
      <w:r w:rsidRPr="00656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32C0" w:rsidRPr="00B832C0" w:rsidRDefault="00B832C0" w:rsidP="00B832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832C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Динамика показателей криминальной обстановки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134"/>
        <w:gridCol w:w="1133"/>
        <w:gridCol w:w="1135"/>
        <w:gridCol w:w="1133"/>
      </w:tblGrid>
      <w:tr w:rsidR="00B832C0" w:rsidRPr="008B2475" w:rsidTr="008203C2">
        <w:trPr>
          <w:trHeight w:val="256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832C0" w:rsidRPr="008B2475" w:rsidTr="00B832C0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C0" w:rsidRPr="008B2475" w:rsidRDefault="00B832C0" w:rsidP="00B832C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 преступлений, 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832C0" w:rsidRPr="008B2475" w:rsidTr="00B832C0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C0" w:rsidRPr="008B2475" w:rsidRDefault="00B832C0" w:rsidP="00B832C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тяжкие и особо тяжкие, 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7D2789" w:rsidRDefault="007D2789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7D2789" w:rsidRDefault="007D2789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B832C0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B2475" w:rsidRPr="008B2475" w:rsidTr="00B832C0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5" w:rsidRPr="008B2475" w:rsidRDefault="008B2475" w:rsidP="0052010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B2475">
              <w:rPr>
                <w:rFonts w:ascii="Times New Roman" w:hAnsi="Times New Roman"/>
                <w:sz w:val="24"/>
                <w:szCs w:val="24"/>
              </w:rPr>
              <w:t>Раскрываемость преступлений, 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7D2789" w:rsidRDefault="007D2789" w:rsidP="0052010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789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7D2789" w:rsidRDefault="007D2789" w:rsidP="0052010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789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7D2789" w:rsidRDefault="007D2789" w:rsidP="0052010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7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75" w:rsidRPr="008B2475" w:rsidRDefault="008B2475" w:rsidP="0052010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7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B832C0" w:rsidRPr="008B2475" w:rsidTr="00B832C0">
        <w:trPr>
          <w:trHeight w:val="43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C0" w:rsidRPr="008B2475" w:rsidRDefault="00B832C0" w:rsidP="00B832C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 дорожно-транспортных преступлений, 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7D2789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5D2D58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B2475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32C0" w:rsidRPr="008B2475" w:rsidTr="00B832C0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C0" w:rsidRPr="008B2475" w:rsidRDefault="008203C2" w:rsidP="008203C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="00B832C0"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них </w:t>
            </w: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8203C2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8B2475" w:rsidRDefault="005D2D58" w:rsidP="00B832C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832C0" w:rsidRDefault="00B832C0" w:rsidP="00656D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33E" w:rsidRPr="0090133E" w:rsidRDefault="0090133E" w:rsidP="00901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>Снижение связано с эффективностью проведения профилактической работы среди несовершеннолетних органами системы профилактики.</w:t>
      </w:r>
    </w:p>
    <w:p w:rsidR="0090133E" w:rsidRDefault="0090133E" w:rsidP="00901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преступлений, совершенных в быту, снизилось с 24 в 2017 году до 16 в 2018 году (-33%). Количество экологических преступлений 2018 году меньше на 4 случая: снижение с 19 в 2017 </w:t>
      </w:r>
      <w:proofErr w:type="spellStart"/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004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 xml:space="preserve"> до 15 в 2018 году (-21%). Наблюдается уменьшение числа преступлений, совершаемых в общественных местах, в 2018 году – 20 (АППГ – 28) и уличных преступлений в 2018 году - 16 (АППГ – 26). Количество краж снизилось незначительно – с 44 преступлений в 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до 45 преступлений 2018 году.</w:t>
      </w:r>
    </w:p>
    <w:p w:rsidR="0090133E" w:rsidRPr="0090133E" w:rsidRDefault="0090133E" w:rsidP="00901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33E">
        <w:rPr>
          <w:rFonts w:ascii="Times New Roman" w:eastAsia="Times New Roman" w:hAnsi="Times New Roman"/>
          <w:sz w:val="24"/>
          <w:szCs w:val="24"/>
          <w:lang w:eastAsia="ru-RU"/>
        </w:rPr>
        <w:t>Положительных результатов удалось достичь, в первую очередь, в связи с усилением профилактических мер, принимаемых органами внутренних дел и органами местного самоуправления при работе с населением.</w:t>
      </w:r>
    </w:p>
    <w:p w:rsidR="008B2475" w:rsidRDefault="0090133E" w:rsidP="00901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33E">
        <w:rPr>
          <w:rFonts w:ascii="Times New Roman" w:hAnsi="Times New Roman"/>
          <w:sz w:val="24"/>
          <w:szCs w:val="24"/>
        </w:rPr>
        <w:t xml:space="preserve">Улучшилась ситуация с показателями </w:t>
      </w:r>
      <w:proofErr w:type="gramStart"/>
      <w:r w:rsidRPr="0090133E">
        <w:rPr>
          <w:rFonts w:ascii="Times New Roman" w:hAnsi="Times New Roman"/>
          <w:sz w:val="24"/>
          <w:szCs w:val="24"/>
        </w:rPr>
        <w:t>дорожно-транспортных</w:t>
      </w:r>
      <w:proofErr w:type="gramEnd"/>
      <w:r w:rsidRPr="00901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33E">
        <w:rPr>
          <w:rFonts w:ascii="Times New Roman" w:hAnsi="Times New Roman"/>
          <w:sz w:val="24"/>
          <w:szCs w:val="24"/>
        </w:rPr>
        <w:t>происшествй</w:t>
      </w:r>
      <w:proofErr w:type="spellEnd"/>
      <w:r w:rsidRPr="0090133E">
        <w:rPr>
          <w:rFonts w:ascii="Times New Roman" w:hAnsi="Times New Roman"/>
          <w:sz w:val="24"/>
          <w:szCs w:val="24"/>
        </w:rPr>
        <w:t>. В период с января по сентябрь 2018 года на территории района зарегистрировано 54 дорожно-транспортных происшествий, из них со смертельным исходом 4 случая. В аналогичном периоде 2017 года было зарегистрировано 68 случаев дорожно-транспортных происшествий, из них 5 со смертельным исходом. ДТП с участием несовершеннолетних граждан в 2018 году – 7 случаев без смертельного исхода.</w:t>
      </w:r>
    </w:p>
    <w:p w:rsidR="00B7256C" w:rsidRPr="004B1C57" w:rsidRDefault="00B7256C" w:rsidP="00901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A57A32" w:rsidRDefault="00B7256C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C57">
        <w:rPr>
          <w:rFonts w:ascii="Times New Roman" w:eastAsia="Times New Roman" w:hAnsi="Times New Roman"/>
          <w:sz w:val="24"/>
          <w:szCs w:val="24"/>
        </w:rPr>
        <w:tab/>
      </w:r>
    </w:p>
    <w:p w:rsidR="00A57A32" w:rsidRDefault="00A57A32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A32" w:rsidRDefault="00A57A32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A32" w:rsidRDefault="00A57A32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A32" w:rsidRDefault="00A57A32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7A32" w:rsidRDefault="00A57A32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56C" w:rsidRPr="004B1C57" w:rsidRDefault="00B7256C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C57">
        <w:rPr>
          <w:rFonts w:ascii="Times New Roman" w:eastAsia="Times New Roman" w:hAnsi="Times New Roman"/>
          <w:sz w:val="24"/>
          <w:szCs w:val="24"/>
        </w:rPr>
        <w:lastRenderedPageBreak/>
        <w:t>Сравнительный анал</w:t>
      </w:r>
      <w:r w:rsidR="00656DAC" w:rsidRPr="004B1C57">
        <w:rPr>
          <w:rFonts w:ascii="Times New Roman" w:eastAsia="Times New Roman" w:hAnsi="Times New Roman"/>
          <w:sz w:val="24"/>
          <w:szCs w:val="24"/>
        </w:rPr>
        <w:t>из статистических данных за 2018</w:t>
      </w:r>
      <w:r w:rsidRPr="004B1C57">
        <w:rPr>
          <w:rFonts w:ascii="Times New Roman" w:eastAsia="Times New Roman" w:hAnsi="Times New Roman"/>
          <w:sz w:val="24"/>
          <w:szCs w:val="24"/>
        </w:rPr>
        <w:t xml:space="preserve"> год свидетельствует о следующих изменениях:</w:t>
      </w:r>
    </w:p>
    <w:p w:rsidR="004B1C57" w:rsidRPr="00B7256C" w:rsidRDefault="004B1C57" w:rsidP="00B725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4427"/>
        <w:gridCol w:w="1417"/>
        <w:gridCol w:w="709"/>
        <w:gridCol w:w="709"/>
        <w:gridCol w:w="1873"/>
      </w:tblGrid>
      <w:tr w:rsidR="00B7256C" w:rsidRPr="00B7256C" w:rsidTr="006212C5">
        <w:trPr>
          <w:trHeight w:val="616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656DA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B7256C"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656DA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B7256C"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B7256C" w:rsidRPr="00B7256C" w:rsidTr="006212C5">
        <w:trPr>
          <w:trHeight w:val="621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рассмотренных дел по защите прав и законных интересов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AF7345" w:rsidRDefault="00AF7345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7256C" w:rsidRPr="00B7256C" w:rsidTr="00656DAC">
        <w:trPr>
          <w:trHeight w:val="399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правонарушений с участием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4B1C57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6C" w:rsidRPr="004B1C57" w:rsidRDefault="004B1C57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AF7345" w:rsidRDefault="00AF7345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B7256C" w:rsidRPr="00B7256C" w:rsidTr="00656DAC">
        <w:trPr>
          <w:trHeight w:val="348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состоящих на учете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AF7345" w:rsidRDefault="00AF7345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B7256C" w:rsidRPr="00B7256C" w:rsidTr="00656DAC">
        <w:trPr>
          <w:trHeight w:val="418"/>
          <w:jc w:val="center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семей, не обеспечивающих надлежащих условий для воспитания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656DAC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6C" w:rsidRPr="00656DAC" w:rsidRDefault="00656DAC" w:rsidP="00B7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6C" w:rsidRPr="00AF7345" w:rsidRDefault="00AF7345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</w:tbl>
    <w:p w:rsidR="00B7256C" w:rsidRPr="00B7256C" w:rsidRDefault="00B7256C" w:rsidP="00B7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Причиной совершения правонарушений несовершеннолетними гражданами по-прежнему является отсутствие контроля со стороны родителей (законных представителей) за времяпровождением детей.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2018 года из Реестра несовершеннолетних, признанных находящимися в социально опасном положении, исключены </w:t>
      </w: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br/>
        <w:t>9 несовершеннолетних граждан в связи с устранением причин и условий нахождения в социально опасном положении.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Число семей, признанных находящимися в социально опасном положении, снизилось в связи с устранением оснований для проведения индивидуальной профилактической работы (устранение</w:t>
      </w:r>
      <w:r w:rsidRPr="004B1C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 и условий социального неблагополучия, защита прав и интересов несовершеннолетних путем инициирования вопроса в судебные органы о лишении родителей родительских прав). 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К мерам, принимаемым для разрешения возникших проблем, кроме консультирования и издательской деятельности относятся: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выезды в сельские поселения района для ознакомления с ситуацией на месте и принятия мер;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оказание содействия в лечении от алкогольной зависимости законных представителей несовершеннолетних;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патронаж семей, включенных в реестр семей, признанных находящимися в социально опасном положении;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содействие в трудоустройстве;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оказание психолого-педагогической поддержки и социальной реабилитации;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оказание практической помощи в разрешении проблем посредством обращений в различные инстанции с ходатайствами и представлениями;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защита прав и законных интересов детей в судебных органах.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В течение 2018 года проведено 30 заседаний комиссии по делам несовершеннолетних и защите их прав (из них 15 выездных), принято 153 постановления Комиссии.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>Среди несовершеннолетних граждан организован и проведен заочный конкурс «Право и я», целью которого является повышение уровня правовой культуры и правосознания несовершеннолетних, а также формирования активной гражданской позиции и законопослушного поведения.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zh-CN"/>
        </w:rPr>
        <w:t xml:space="preserve">В рамках Всероссийского Дня правовой помощи детям на базе муниципального казенного общеобразовательного учреждения «Средняя общеобразовательная школа д. </w:t>
      </w:r>
      <w:proofErr w:type="spellStart"/>
      <w:r w:rsidRPr="004B1C5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Шапша</w:t>
      </w:r>
      <w:proofErr w:type="spellEnd"/>
      <w:r w:rsidRPr="004B1C57">
        <w:rPr>
          <w:rFonts w:ascii="Times New Roman" w:eastAsia="Times New Roman" w:hAnsi="Times New Roman"/>
          <w:sz w:val="24"/>
          <w:szCs w:val="24"/>
          <w:lang w:eastAsia="zh-CN"/>
        </w:rPr>
        <w:t>» проведена интеллектуальн</w:t>
      </w:r>
      <w:proofErr w:type="gramStart"/>
      <w:r w:rsidRPr="004B1C57">
        <w:rPr>
          <w:rFonts w:ascii="Times New Roman" w:eastAsia="Times New Roman" w:hAnsi="Times New Roman"/>
          <w:sz w:val="24"/>
          <w:szCs w:val="24"/>
          <w:lang w:eastAsia="zh-CN"/>
        </w:rPr>
        <w:t>о-</w:t>
      </w:r>
      <w:proofErr w:type="gramEnd"/>
      <w:r w:rsidRPr="004B1C57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правовая игра среди несовершеннолетних «Знатоки права».</w:t>
      </w:r>
    </w:p>
    <w:p w:rsidR="004B1C57" w:rsidRPr="004B1C57" w:rsidRDefault="004B1C57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несовершеннолетних, в том числе на профилактику наркомании. В районе не зарегистрировано несовершеннолетних, употребляющих наркотические вещества. </w:t>
      </w:r>
    </w:p>
    <w:p w:rsidR="00AF7345" w:rsidRDefault="00AF7345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color w:val="FF0000"/>
          <w:sz w:val="24"/>
          <w:szCs w:val="24"/>
          <w:lang w:eastAsia="ru-RU"/>
        </w:rPr>
      </w:pPr>
    </w:p>
    <w:p w:rsidR="00B7256C" w:rsidRPr="00AF7345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AF7345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t xml:space="preserve">1.8.Состояние жилищного фонда    </w:t>
      </w:r>
    </w:p>
    <w:p w:rsidR="006D57EF" w:rsidRDefault="006D57EF" w:rsidP="006D5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57EF">
        <w:rPr>
          <w:rFonts w:ascii="Times New Roman" w:eastAsia="Times New Roman" w:hAnsi="Times New Roman"/>
          <w:sz w:val="24"/>
          <w:szCs w:val="24"/>
        </w:rPr>
        <w:t>По предварительным данным объем жилищного фонда Ханты-Мансийского района по состоянию на 1 января 2019 года составляет 451,5</w:t>
      </w:r>
      <w:r>
        <w:rPr>
          <w:rFonts w:ascii="Times New Roman" w:eastAsia="Times New Roman" w:hAnsi="Times New Roman"/>
          <w:sz w:val="24"/>
          <w:szCs w:val="24"/>
        </w:rPr>
        <w:t xml:space="preserve"> тыс. кв. метров, в том числе 337,8 тыс. кв. метров или 74,8% это жилой фонд частной формы собственности. </w:t>
      </w:r>
    </w:p>
    <w:p w:rsidR="006D57EF" w:rsidRDefault="006D57EF" w:rsidP="006D5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57EF">
        <w:rPr>
          <w:rFonts w:ascii="Times New Roman" w:eastAsia="Times New Roman" w:hAnsi="Times New Roman"/>
          <w:sz w:val="24"/>
          <w:szCs w:val="24"/>
        </w:rPr>
        <w:t>Уровень обеспеченности благоустройства жилого фонда, оборудованного:</w:t>
      </w:r>
    </w:p>
    <w:p w:rsidR="003B193B" w:rsidRDefault="003B193B" w:rsidP="006D5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2460"/>
      </w:tblGrid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водопроводом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52,3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- в том числе </w:t>
            </w:r>
            <w:proofErr w:type="gramStart"/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51,4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канализацией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46,9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- в том числе </w:t>
            </w:r>
            <w:proofErr w:type="gramStart"/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централизованной</w:t>
            </w:r>
            <w:proofErr w:type="gram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27,0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отоплением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64,6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- в том числе </w:t>
            </w:r>
            <w:proofErr w:type="gramStart"/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35,5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горячим водоснабжением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32,7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- в том числе </w:t>
            </w:r>
            <w:proofErr w:type="gramStart"/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22,4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ваннами (душем)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39,8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>газом  всего, в том числе: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52,6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сетевым газом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41,6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i/>
                <w:iCs/>
                <w:lang w:eastAsia="ru-RU"/>
              </w:rPr>
              <w:t>сжиженным газом (в баллонах)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i/>
                <w:lang w:eastAsia="ru-RU"/>
              </w:rPr>
              <w:t>11,0</w:t>
            </w:r>
          </w:p>
        </w:tc>
      </w:tr>
      <w:tr w:rsidR="003B193B" w:rsidRPr="006D57EF" w:rsidTr="003B193B">
        <w:trPr>
          <w:trHeight w:val="300"/>
          <w:jc w:val="center"/>
        </w:trPr>
        <w:tc>
          <w:tcPr>
            <w:tcW w:w="5900" w:type="dxa"/>
            <w:shd w:val="clear" w:color="auto" w:fill="auto"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lang w:eastAsia="ru-RU"/>
              </w:rPr>
              <w:t xml:space="preserve">напольными электроплитами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3B193B" w:rsidRPr="006D57EF" w:rsidRDefault="003B193B" w:rsidP="006D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57EF">
              <w:rPr>
                <w:rFonts w:ascii="Times New Roman" w:eastAsia="Times New Roman" w:hAnsi="Times New Roman"/>
                <w:bCs/>
                <w:lang w:eastAsia="ru-RU"/>
              </w:rPr>
              <w:t>18,9</w:t>
            </w:r>
          </w:p>
        </w:tc>
      </w:tr>
    </w:tbl>
    <w:p w:rsidR="006D57EF" w:rsidRDefault="006D57EF" w:rsidP="006D5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D57EF" w:rsidRPr="006D57EF" w:rsidRDefault="00A6618D" w:rsidP="00D53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предварительным данным, по состоянию на 01.01.2019 в</w:t>
      </w:r>
      <w:r w:rsidR="006D57EF">
        <w:rPr>
          <w:rFonts w:ascii="Times New Roman" w:eastAsia="Times New Roman" w:hAnsi="Times New Roman"/>
          <w:sz w:val="24"/>
          <w:szCs w:val="24"/>
        </w:rPr>
        <w:t>етхий и аварийный жилой фонд составляет  - 54,4 тыс. кв. метров</w:t>
      </w:r>
      <w:r>
        <w:rPr>
          <w:rFonts w:ascii="Times New Roman" w:eastAsia="Times New Roman" w:hAnsi="Times New Roman"/>
          <w:sz w:val="24"/>
          <w:szCs w:val="24"/>
        </w:rPr>
        <w:t>, что ниже показателя 2017 года на 22 тыс. кв. метров (76,4 тыс. кв. метров).</w:t>
      </w:r>
    </w:p>
    <w:p w:rsidR="000013F9" w:rsidRPr="003B0BED" w:rsidRDefault="00A6618D" w:rsidP="00B7256C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18D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показателей социально-экономического развития района является показатель ввода жилья.</w:t>
      </w:r>
    </w:p>
    <w:p w:rsidR="006D57EF" w:rsidRPr="000013F9" w:rsidRDefault="000013F9" w:rsidP="000013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3F9">
        <w:rPr>
          <w:rFonts w:ascii="Times New Roman" w:hAnsi="Times New Roman"/>
          <w:sz w:val="24"/>
          <w:szCs w:val="24"/>
        </w:rPr>
        <w:t>Плановые показатели по вводу жилья, доведенные Правительством Югры были перевыполнены на 1 633,8 кв. метров и составили 11 133,8 кв. метров,</w:t>
      </w:r>
      <w:r w:rsidRPr="000013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13F9">
        <w:rPr>
          <w:rFonts w:ascii="Times New Roman" w:hAnsi="Times New Roman"/>
          <w:sz w:val="24"/>
          <w:szCs w:val="24"/>
        </w:rPr>
        <w:t>по сравнению с 2017 годом фактический ввод жилья больше</w:t>
      </w:r>
      <w:r w:rsidRPr="000013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13F9">
        <w:rPr>
          <w:rFonts w:ascii="Times New Roman" w:hAnsi="Times New Roman"/>
          <w:sz w:val="24"/>
          <w:szCs w:val="24"/>
        </w:rPr>
        <w:t>на 1 500,4 кв. метра (9 633,4 кв. метров).</w:t>
      </w:r>
      <w:r w:rsidRPr="000013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13F9">
        <w:rPr>
          <w:rFonts w:ascii="Times New Roman" w:hAnsi="Times New Roman"/>
          <w:sz w:val="24"/>
          <w:szCs w:val="24"/>
        </w:rPr>
        <w:t>Индивидуальное жилищное строительство занимает более 35% в общем объеме введенного жилья и</w:t>
      </w:r>
      <w:r w:rsidRPr="000013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4 426,5 кв. метра, </w:t>
      </w:r>
      <w:r w:rsidRPr="000013F9">
        <w:rPr>
          <w:rFonts w:ascii="Times New Roman" w:eastAsia="Times New Roman" w:hAnsi="Times New Roman"/>
          <w:sz w:val="24"/>
          <w:szCs w:val="24"/>
        </w:rPr>
        <w:t>что больше уровня 2017 года на 1 263,7 кв. метра (3 162,8 кв. метров).</w:t>
      </w:r>
    </w:p>
    <w:p w:rsidR="00B7256C" w:rsidRPr="00A0361E" w:rsidRDefault="00E00C1E" w:rsidP="00B7256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361E">
        <w:rPr>
          <w:rFonts w:ascii="Times New Roman" w:eastAsia="Times New Roman" w:hAnsi="Times New Roman"/>
          <w:sz w:val="24"/>
          <w:szCs w:val="24"/>
          <w:lang w:eastAsia="ar-SA"/>
        </w:rPr>
        <w:t>В 2018</w:t>
      </w:r>
      <w:r w:rsidR="00B7256C" w:rsidRPr="00A0361E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Pr="00A0361E">
        <w:rPr>
          <w:rFonts w:ascii="Times New Roman" w:eastAsia="Times New Roman" w:hAnsi="Times New Roman"/>
          <w:sz w:val="24"/>
          <w:szCs w:val="24"/>
          <w:lang w:eastAsia="ar-SA"/>
        </w:rPr>
        <w:t>оду улучшили жилищные условия 72</w:t>
      </w:r>
      <w:r w:rsidR="00B7256C" w:rsidRPr="00A0361E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 из числа состоящих на учете в качестве нуждаю</w:t>
      </w:r>
      <w:r w:rsidR="00A0361E" w:rsidRPr="00A0361E">
        <w:rPr>
          <w:rFonts w:ascii="Times New Roman" w:eastAsia="Times New Roman" w:hAnsi="Times New Roman"/>
          <w:sz w:val="24"/>
          <w:szCs w:val="24"/>
          <w:lang w:eastAsia="ar-SA"/>
        </w:rPr>
        <w:t>щихся в жилых помещениях - 1 121</w:t>
      </w:r>
      <w:r w:rsidR="00B7256C" w:rsidRPr="00A0361E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человек.</w:t>
      </w:r>
    </w:p>
    <w:p w:rsidR="000013F9" w:rsidRPr="000013F9" w:rsidRDefault="000013F9" w:rsidP="000013F9">
      <w:pPr>
        <w:spacing w:after="16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13F9">
        <w:rPr>
          <w:rFonts w:ascii="Times New Roman" w:hAnsi="Times New Roman"/>
          <w:sz w:val="24"/>
          <w:szCs w:val="24"/>
        </w:rPr>
        <w:t xml:space="preserve">По предварительным данным </w:t>
      </w:r>
      <w:r w:rsidR="005C1B93">
        <w:rPr>
          <w:rFonts w:ascii="Times New Roman" w:hAnsi="Times New Roman"/>
          <w:sz w:val="24"/>
          <w:szCs w:val="24"/>
        </w:rPr>
        <w:t>Управления Федеральной службы</w:t>
      </w:r>
      <w:r w:rsidR="005C1B93" w:rsidRPr="005C1B93">
        <w:rPr>
          <w:rFonts w:ascii="Times New Roman" w:hAnsi="Times New Roman"/>
          <w:sz w:val="24"/>
          <w:szCs w:val="24"/>
        </w:rPr>
        <w:t xml:space="preserve"> </w:t>
      </w:r>
      <w:r w:rsidRPr="000013F9">
        <w:rPr>
          <w:rFonts w:ascii="Times New Roman" w:hAnsi="Times New Roman"/>
          <w:sz w:val="24"/>
          <w:szCs w:val="24"/>
        </w:rPr>
        <w:t>государственной статистики по Тюменской области, Ханты-Мансийскому автономному округу - Югре и Ямало-Ненецкому автономному округу общая площадь жилых помещений, приходящаяся в среднем на 1 жителя в 2018 году, достигла 22,3 кв. метров.</w:t>
      </w:r>
    </w:p>
    <w:p w:rsidR="00B7256C" w:rsidRDefault="00B7256C" w:rsidP="00B7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E9B" w:rsidRPr="00A96E9B" w:rsidRDefault="00A96E9B" w:rsidP="00FE2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96E9B" w:rsidRPr="00A96E9B" w:rsidRDefault="00A96E9B" w:rsidP="00F61F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96E9B" w:rsidRPr="00A96E9B" w:rsidRDefault="00A96E9B" w:rsidP="00F61F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  <w:sectPr w:rsidR="00A96E9B" w:rsidRPr="00A96E9B" w:rsidSect="00FC061E">
          <w:headerReference w:type="default" r:id="rId14"/>
          <w:pgSz w:w="11906" w:h="16838"/>
          <w:pgMar w:top="1701" w:right="1276" w:bottom="993" w:left="1559" w:header="709" w:footer="709" w:gutter="0"/>
          <w:cols w:space="708"/>
          <w:titlePg/>
          <w:docGrid w:linePitch="360"/>
        </w:sectPr>
      </w:pPr>
    </w:p>
    <w:p w:rsidR="00A96E9B" w:rsidRPr="00E579F7" w:rsidRDefault="00A96E9B" w:rsidP="00A96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79F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A96E9B" w:rsidRPr="00E579F7" w:rsidRDefault="00A96E9B" w:rsidP="00A96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bookmarkStart w:id="0" w:name="P474"/>
      <w:bookmarkEnd w:id="0"/>
      <w:r w:rsidRPr="001C55FB">
        <w:rPr>
          <w:rFonts w:ascii="Times New Roman" w:eastAsiaTheme="minorHAnsi" w:hAnsi="Times New Roman"/>
          <w:bCs/>
          <w:sz w:val="24"/>
          <w:szCs w:val="24"/>
        </w:rPr>
        <w:t>Информация о состоянии жилищного фонда в муниципальном образовании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1C55FB">
        <w:rPr>
          <w:rFonts w:ascii="Times New Roman" w:eastAsiaTheme="minorHAnsi" w:hAnsi="Times New Roman"/>
          <w:bCs/>
          <w:sz w:val="24"/>
          <w:szCs w:val="24"/>
        </w:rPr>
        <w:t>Ханты-Мансийский ра</w:t>
      </w:r>
      <w:r>
        <w:rPr>
          <w:rFonts w:ascii="Times New Roman" w:eastAsiaTheme="minorHAnsi" w:hAnsi="Times New Roman"/>
          <w:bCs/>
          <w:sz w:val="24"/>
          <w:szCs w:val="24"/>
        </w:rPr>
        <w:t>йон за 2018</w:t>
      </w:r>
      <w:r w:rsidRPr="001C55FB">
        <w:rPr>
          <w:rFonts w:ascii="Times New Roman" w:eastAsiaTheme="minorHAnsi" w:hAnsi="Times New Roman"/>
          <w:bCs/>
          <w:sz w:val="24"/>
          <w:szCs w:val="24"/>
        </w:rPr>
        <w:t xml:space="preserve"> год, кв. метров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FF0000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604"/>
        <w:gridCol w:w="1381"/>
        <w:gridCol w:w="1422"/>
        <w:gridCol w:w="1645"/>
        <w:gridCol w:w="710"/>
        <w:gridCol w:w="1603"/>
        <w:gridCol w:w="1098"/>
        <w:gridCol w:w="1421"/>
        <w:gridCol w:w="949"/>
        <w:gridCol w:w="1725"/>
      </w:tblGrid>
      <w:tr w:rsidR="001C55FB" w:rsidRPr="001C55FB" w:rsidTr="006212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gramStart"/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Отчет-</w:t>
            </w:r>
            <w:proofErr w:type="spellStart"/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 на начало года,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Выбыло общей площади жилых помещений за год, всего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помещений, введенная в действие за год</w:t>
            </w:r>
          </w:p>
        </w:tc>
      </w:tr>
      <w:tr w:rsidR="001C55FB" w:rsidRPr="001C55FB" w:rsidTr="0062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ветхого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аварийного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ветхости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аварийности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C55FB">
              <w:rPr>
                <w:rFonts w:ascii="Times New Roman" w:eastAsiaTheme="minorHAnsi" w:hAnsi="Times New Roman"/>
                <w:bCs/>
                <w:sz w:val="20"/>
                <w:szCs w:val="20"/>
              </w:rPr>
              <w:t>иные причины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1C55FB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1C55FB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426 200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140 400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284 000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10 115</w:t>
            </w:r>
          </w:p>
        </w:tc>
      </w:tr>
      <w:tr w:rsidR="001C55FB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429 200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136 700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289 800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3 242,8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2 247,8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B7EBD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B7EBD">
              <w:rPr>
                <w:rFonts w:ascii="Times New Roman" w:eastAsiaTheme="minorHAnsi" w:hAnsi="Times New Roman"/>
                <w:bCs/>
                <w:sz w:val="20"/>
                <w:szCs w:val="20"/>
              </w:rPr>
              <w:t>10 464</w:t>
            </w:r>
          </w:p>
        </w:tc>
      </w:tr>
      <w:tr w:rsidR="001C55FB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434 918,2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46 871,8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388 046,4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2 469,6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2 328,0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141,6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9 813</w:t>
            </w:r>
          </w:p>
        </w:tc>
      </w:tr>
      <w:tr w:rsidR="001C55FB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441 777,0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76 432,8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365 344,2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1 583,0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1 583,0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11 133,8</w:t>
            </w:r>
          </w:p>
        </w:tc>
      </w:tr>
      <w:tr w:rsidR="001C55FB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451 524,2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54 413,1*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397 111,1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A1437C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9 500</w:t>
            </w:r>
          </w:p>
        </w:tc>
      </w:tr>
      <w:tr w:rsidR="00A1437C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451 524,2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54 413,1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397 111,1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9 500</w:t>
            </w:r>
          </w:p>
        </w:tc>
      </w:tr>
      <w:tr w:rsidR="00A1437C" w:rsidRPr="001C55FB" w:rsidTr="00621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1437C">
              <w:rPr>
                <w:rFonts w:ascii="Times New Roman" w:eastAsiaTheme="minorHAnsi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451 524,2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54 413,1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A1437C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397 111,1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7C" w:rsidRPr="00A1437C" w:rsidRDefault="00A1437C" w:rsidP="001C55FB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9 500</w:t>
            </w:r>
          </w:p>
        </w:tc>
      </w:tr>
    </w:tbl>
    <w:p w:rsidR="001C55FB" w:rsidRDefault="001C55FB" w:rsidP="00A96E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37C" w:rsidRDefault="00A1437C" w:rsidP="00A96E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37C" w:rsidRDefault="00A1437C" w:rsidP="00A1437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437C">
        <w:rPr>
          <w:rFonts w:ascii="Times New Roman" w:hAnsi="Times New Roman" w:cs="Times New Roman"/>
          <w:sz w:val="20"/>
        </w:rPr>
        <w:t xml:space="preserve">* Информация по данным, представленным администрациями сельских поселений Ханты-Мансийского района. С отчета 2018 года </w:t>
      </w:r>
      <w:r>
        <w:rPr>
          <w:rFonts w:ascii="Times New Roman" w:hAnsi="Times New Roman" w:cs="Times New Roman"/>
          <w:sz w:val="20"/>
        </w:rPr>
        <w:t xml:space="preserve">в </w:t>
      </w:r>
      <w:r w:rsidRPr="00A1437C">
        <w:rPr>
          <w:rFonts w:ascii="Times New Roman" w:hAnsi="Times New Roman" w:cs="Times New Roman"/>
          <w:sz w:val="20"/>
        </w:rPr>
        <w:t>Ф</w:t>
      </w:r>
      <w:r>
        <w:rPr>
          <w:rFonts w:ascii="Times New Roman" w:hAnsi="Times New Roman" w:cs="Times New Roman"/>
          <w:sz w:val="20"/>
        </w:rPr>
        <w:t>орме</w:t>
      </w:r>
      <w:r w:rsidRPr="00A1437C">
        <w:rPr>
          <w:rFonts w:ascii="Times New Roman" w:hAnsi="Times New Roman" w:cs="Times New Roman"/>
          <w:sz w:val="20"/>
        </w:rPr>
        <w:t xml:space="preserve"> 1-жилфонд, утвержденной Приказом Росстата от 27.07.2018 № 462</w:t>
      </w:r>
      <w:r>
        <w:rPr>
          <w:rFonts w:ascii="Times New Roman" w:hAnsi="Times New Roman" w:cs="Times New Roman"/>
          <w:sz w:val="20"/>
        </w:rPr>
        <w:t>,</w:t>
      </w:r>
      <w:r w:rsidRPr="00A1437C">
        <w:rPr>
          <w:rFonts w:ascii="Times New Roman" w:hAnsi="Times New Roman" w:cs="Times New Roman"/>
          <w:sz w:val="20"/>
        </w:rPr>
        <w:t xml:space="preserve"> данный раздел не предусмотрен</w:t>
      </w:r>
      <w:r>
        <w:rPr>
          <w:rFonts w:ascii="Times New Roman" w:hAnsi="Times New Roman" w:cs="Times New Roman"/>
          <w:sz w:val="20"/>
        </w:rPr>
        <w:t>.</w:t>
      </w:r>
    </w:p>
    <w:p w:rsidR="00A1437C" w:rsidRPr="00A1437C" w:rsidRDefault="00A1437C" w:rsidP="00A1437C">
      <w:pPr>
        <w:pStyle w:val="ConsPlusNormal"/>
        <w:jc w:val="both"/>
        <w:rPr>
          <w:rFonts w:ascii="Times New Roman" w:hAnsi="Times New Roman" w:cs="Times New Roman"/>
          <w:sz w:val="20"/>
        </w:rPr>
        <w:sectPr w:rsidR="00A1437C" w:rsidRPr="00A1437C" w:rsidSect="001C55FB">
          <w:pgSz w:w="16838" w:h="11906" w:orient="landscape"/>
          <w:pgMar w:top="1559" w:right="1418" w:bottom="1276" w:left="1134" w:header="425" w:footer="170" w:gutter="0"/>
          <w:cols w:space="708"/>
          <w:docGrid w:linePitch="360"/>
        </w:sectPr>
      </w:pPr>
      <w:r w:rsidRPr="00A1437C">
        <w:rPr>
          <w:rFonts w:ascii="Times New Roman" w:hAnsi="Times New Roman" w:cs="Times New Roman"/>
          <w:sz w:val="20"/>
        </w:rPr>
        <w:t xml:space="preserve">  </w:t>
      </w:r>
    </w:p>
    <w:p w:rsidR="001C55FB" w:rsidRPr="007C30F6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7C30F6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lastRenderedPageBreak/>
        <w:t>1.9.Охрана прав граждан и юридических лиц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Порядок обжалования муниципальных правовых актов и действий (бездействия) органов местного самоуправления в суд регулируется Гражданским процессуальным кодексом Российской Федерации, Арбитражным процессуальным кодексом Российской Федерации и Кодексом административного судопроизводства Российской Федерации. 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Общее количество обращений в суды граждан и юридических лиц за обжалованием действий (бездействия) органов местного самоуправления Ханты-Мансийского района в 2018 году составило 4 (2017 год – 4, 2016 год – 6). 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Таким образом, количества судебных разбирательств по обращениям граждан и юридических лиц в сравнении с предыдущими годами значительно не меняется.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Количество обращений в суды по направлениям, степень их удовлетворения судом отражены в таблице 2.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lang w:eastAsia="ru-RU"/>
        </w:rPr>
        <w:t>В 2018 году судом не удовлетворены требования ни по одному из четырех дел, как и в 2017 году.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В 2018 году имели место обращения в суд от физических лиц по трудовым правоотношениям (1, отклонено), жилищным правоотношениям (1, отклонено), земельным правоотношениям (2, отклонены).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Прокурором иски о нарушениях прав граждан, юридических лиц не предъявлялись.</w:t>
      </w:r>
    </w:p>
    <w:p w:rsidR="00F303F3" w:rsidRPr="00F303F3" w:rsidRDefault="00F303F3" w:rsidP="00F3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  <w:sectPr w:rsidR="00F303F3" w:rsidRPr="00F303F3" w:rsidSect="00F303F3">
          <w:pgSz w:w="11906" w:h="16838"/>
          <w:pgMar w:top="1418" w:right="1276" w:bottom="1134" w:left="1559" w:header="425" w:footer="170" w:gutter="0"/>
          <w:cols w:space="708"/>
          <w:docGrid w:linePitch="360"/>
        </w:sectPr>
      </w:pPr>
      <w:r w:rsidRPr="00F303F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В настоящем анализе не учтены дела других категорий (споры о праве собственности, о взыскании задолженности по договорам и иные, не связанные с обжалованием действий, решений органов местного самоуправления). Общее число судебных разбирательств в 2018 году с участием </w:t>
      </w:r>
      <w:r w:rsidRPr="00F303F3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администрации района, как 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C55FB">
        <w:rPr>
          <w:rFonts w:ascii="Times New Roman" w:eastAsiaTheme="minorHAnsi" w:hAnsi="Times New Roman"/>
          <w:sz w:val="24"/>
          <w:szCs w:val="24"/>
        </w:rPr>
        <w:lastRenderedPageBreak/>
        <w:t>Таблица 2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C55FB">
        <w:rPr>
          <w:rFonts w:ascii="Times New Roman" w:eastAsiaTheme="minorHAnsi" w:hAnsi="Times New Roman"/>
          <w:sz w:val="24"/>
          <w:szCs w:val="24"/>
        </w:rPr>
        <w:t>Количество допущенных нарушений прав граждан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C55FB">
        <w:rPr>
          <w:rFonts w:ascii="Times New Roman" w:eastAsiaTheme="minorHAnsi" w:hAnsi="Times New Roman"/>
          <w:sz w:val="24"/>
          <w:szCs w:val="24"/>
        </w:rPr>
        <w:t>и юридических лиц, подтвержденных судебными актами</w:t>
      </w:r>
    </w:p>
    <w:p w:rsidR="001C55FB" w:rsidRPr="001C55FB" w:rsidRDefault="007F1526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8pt;margin-top:13pt;width:302.25pt;height:0;z-index:251659264" o:connectortype="straight"/>
        </w:pict>
      </w:r>
      <w:r w:rsidR="001C55FB" w:rsidRPr="001C55FB">
        <w:rPr>
          <w:rFonts w:ascii="Times New Roman" w:eastAsiaTheme="minorHAnsi" w:hAnsi="Times New Roman"/>
          <w:sz w:val="24"/>
          <w:szCs w:val="24"/>
        </w:rPr>
        <w:t>Ханты-Мансийский район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1C55FB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577"/>
        <w:gridCol w:w="591"/>
        <w:gridCol w:w="591"/>
        <w:gridCol w:w="592"/>
        <w:gridCol w:w="592"/>
        <w:gridCol w:w="592"/>
        <w:gridCol w:w="59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303F3" w:rsidRPr="00F303F3" w:rsidTr="00F303F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F303F3" w:rsidRPr="00F303F3" w:rsidTr="00F303F3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F303F3" w:rsidRPr="00F303F3" w:rsidTr="00F303F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303F3" w:rsidRPr="00F303F3" w:rsidTr="00F303F3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лица</w:t>
            </w:r>
          </w:p>
        </w:tc>
      </w:tr>
      <w:tr w:rsidR="00F303F3" w:rsidRPr="00F303F3" w:rsidTr="00F303F3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03F3" w:rsidRPr="00F303F3" w:rsidTr="00F303F3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Трудовые правоотношения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жилищные правоотношения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земельные правоотношения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санитарно-эпидемиологическое благополучие</w:t>
            </w:r>
            <w:proofErr w:type="gramStart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храна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егистрация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открытость информации ОМСУ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Торги, аукцион, муниципальное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представления, нормативные, ненормативные акты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3F3" w:rsidRPr="00F303F3" w:rsidTr="00F303F3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F3" w:rsidRPr="00F303F3" w:rsidRDefault="00F303F3" w:rsidP="00F303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55FB" w:rsidRDefault="001C55FB" w:rsidP="00F303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1C55FB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BB7EBD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7E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1.10.Состояние платежной дисциплины и инвестиционной политики </w:t>
      </w:r>
    </w:p>
    <w:p w:rsidR="001C55FB" w:rsidRPr="00BB7EBD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7E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жилищно-коммунальном комплексе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1C55FB" w:rsidRPr="0086099F" w:rsidRDefault="001C55FB" w:rsidP="001C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2018 года, в программу капитального ремонта общего имущества многоквартирных домов,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- Югры от 25 декабря 2013 года № 568-п,</w:t>
      </w:r>
      <w:r w:rsidR="0086099F" w:rsidRPr="0086099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 121 многоквартирный дом</w:t>
      </w: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</w:t>
      </w:r>
      <w:r w:rsidR="0086099F" w:rsidRPr="0086099F">
        <w:rPr>
          <w:rFonts w:ascii="Times New Roman" w:eastAsia="Times New Roman" w:hAnsi="Times New Roman"/>
          <w:sz w:val="24"/>
          <w:szCs w:val="24"/>
          <w:lang w:eastAsia="ru-RU"/>
        </w:rPr>
        <w:t>района, общей площадью 120 999,9</w:t>
      </w: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1C55FB" w:rsidRPr="001C55FB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C55FB" w:rsidRPr="0086099F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Информация по количеству многоквартирных домов, включенных в программу капитального ремонта в разрезе сельских поселений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935"/>
        <w:gridCol w:w="2061"/>
        <w:gridCol w:w="1306"/>
        <w:gridCol w:w="2665"/>
        <w:gridCol w:w="1098"/>
      </w:tblGrid>
      <w:tr w:rsidR="0086099F" w:rsidRPr="0086099F" w:rsidTr="006212C5">
        <w:tc>
          <w:tcPr>
            <w:tcW w:w="0" w:type="auto"/>
          </w:tcPr>
          <w:p w:rsidR="001C55FB" w:rsidRPr="0086099F" w:rsidRDefault="001C55FB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0" w:type="auto"/>
          </w:tcPr>
          <w:p w:rsidR="001C55FB" w:rsidRPr="0086099F" w:rsidRDefault="001C55FB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Сельское поселение</w:t>
            </w:r>
          </w:p>
        </w:tc>
        <w:tc>
          <w:tcPr>
            <w:tcW w:w="0" w:type="auto"/>
          </w:tcPr>
          <w:p w:rsidR="001C55FB" w:rsidRPr="0086099F" w:rsidRDefault="001C55FB" w:rsidP="001C55FB">
            <w:pPr>
              <w:jc w:val="center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Количество домов в программе капремонта, единиц</w:t>
            </w:r>
          </w:p>
        </w:tc>
        <w:tc>
          <w:tcPr>
            <w:tcW w:w="0" w:type="auto"/>
          </w:tcPr>
          <w:p w:rsidR="001C55FB" w:rsidRPr="0086099F" w:rsidRDefault="001C55FB" w:rsidP="001C55FB">
            <w:pPr>
              <w:jc w:val="center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 xml:space="preserve">Площадь домов, </w:t>
            </w:r>
            <w:proofErr w:type="spellStart"/>
            <w:r w:rsidRPr="0086099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86099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  <w:p w:rsidR="001C55FB" w:rsidRPr="0086099F" w:rsidRDefault="001C55FB" w:rsidP="001C55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5" w:type="dxa"/>
          </w:tcPr>
          <w:p w:rsidR="001C55FB" w:rsidRPr="0086099F" w:rsidRDefault="001C55FB" w:rsidP="001C55FB">
            <w:pPr>
              <w:jc w:val="center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Количество дом</w:t>
            </w:r>
            <w:r w:rsidR="0086099F">
              <w:rPr>
                <w:rFonts w:ascii="Times New Roman" w:eastAsia="Times New Roman" w:hAnsi="Times New Roman"/>
              </w:rPr>
              <w:t>ов, планируемых в ремонт на 2019</w:t>
            </w:r>
            <w:r w:rsidRPr="0086099F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098" w:type="dxa"/>
          </w:tcPr>
          <w:p w:rsidR="001C55FB" w:rsidRPr="0086099F" w:rsidRDefault="001C55FB" w:rsidP="001C55FB">
            <w:pPr>
              <w:jc w:val="center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 xml:space="preserve">Площадь домов, </w:t>
            </w:r>
            <w:proofErr w:type="spellStart"/>
            <w:r w:rsidRPr="0086099F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86099F">
              <w:rPr>
                <w:rFonts w:ascii="Times New Roman" w:eastAsia="Times New Roman" w:hAnsi="Times New Roman"/>
              </w:rPr>
              <w:t>.</w:t>
            </w:r>
          </w:p>
          <w:p w:rsidR="001C55FB" w:rsidRPr="0086099F" w:rsidRDefault="001C55FB" w:rsidP="001C55F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89 835,4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7 859,4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Кедровый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7 211,2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1 517,3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1786,6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10 868,7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824,1</w:t>
            </w:r>
          </w:p>
        </w:tc>
      </w:tr>
      <w:tr w:rsidR="0086099F" w:rsidRPr="001C55FB" w:rsidTr="006212C5">
        <w:trPr>
          <w:trHeight w:val="139"/>
        </w:trPr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844,9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283,1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Сибирский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611,7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  <w:r w:rsidRPr="0086099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6099F"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9 558,6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-</w:t>
            </w:r>
          </w:p>
        </w:tc>
      </w:tr>
      <w:tr w:rsidR="0086099F" w:rsidRPr="001C55FB" w:rsidTr="006212C5">
        <w:tc>
          <w:tcPr>
            <w:tcW w:w="0" w:type="auto"/>
          </w:tcPr>
          <w:p w:rsidR="0086099F" w:rsidRPr="0086099F" w:rsidRDefault="0086099F" w:rsidP="001C55F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both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120 999,9</w:t>
            </w:r>
          </w:p>
        </w:tc>
        <w:tc>
          <w:tcPr>
            <w:tcW w:w="2665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11</w:t>
            </w:r>
          </w:p>
        </w:tc>
        <w:tc>
          <w:tcPr>
            <w:tcW w:w="1098" w:type="dxa"/>
          </w:tcPr>
          <w:p w:rsidR="0086099F" w:rsidRPr="0086099F" w:rsidRDefault="0086099F" w:rsidP="00F303F3">
            <w:pPr>
              <w:jc w:val="center"/>
              <w:rPr>
                <w:rFonts w:ascii="Times New Roman" w:hAnsi="Times New Roman"/>
              </w:rPr>
            </w:pPr>
            <w:r w:rsidRPr="0086099F">
              <w:rPr>
                <w:rFonts w:ascii="Times New Roman" w:hAnsi="Times New Roman"/>
              </w:rPr>
              <w:t>10 200,8</w:t>
            </w:r>
          </w:p>
        </w:tc>
      </w:tr>
    </w:tbl>
    <w:p w:rsidR="001C55FB" w:rsidRPr="001C55FB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C55FB" w:rsidRPr="0086099F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жилищно-коммунального комплекса и энергетики от 11.04.2014 № 10-нп и составляют:</w:t>
      </w:r>
    </w:p>
    <w:p w:rsidR="001C55FB" w:rsidRPr="0086099F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для деревянных домов – 8,55 руб.;</w:t>
      </w:r>
    </w:p>
    <w:p w:rsidR="001C55FB" w:rsidRPr="0086099F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для домов в панельном исполнении без лифта – 12,05 руб.;</w:t>
      </w:r>
    </w:p>
    <w:p w:rsidR="001C55FB" w:rsidRPr="0086099F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для иных домов без лифта – 10,75 руб.</w:t>
      </w:r>
    </w:p>
    <w:p w:rsidR="0086099F" w:rsidRPr="0086099F" w:rsidRDefault="0086099F" w:rsidP="0086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Согласно краткосрочному плану реализации капитального ремонта общего имущества многоквартирных домов на 2017 – 2019 годы, в 2018 году был 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ланирован </w:t>
      </w: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общего имущества 6 многоквартирных домов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19 112 885,68 рублей</w:t>
      </w:r>
      <w:r w:rsidR="008957C0">
        <w:rPr>
          <w:rFonts w:ascii="Times New Roman" w:eastAsia="Times New Roman" w:hAnsi="Times New Roman"/>
          <w:sz w:val="24"/>
          <w:szCs w:val="24"/>
          <w:lang w:eastAsia="ru-RU"/>
        </w:rPr>
        <w:t>. Работы выполнены в полном объёме.</w:t>
      </w:r>
    </w:p>
    <w:p w:rsidR="0086099F" w:rsidRPr="0086099F" w:rsidRDefault="008957C0" w:rsidP="0086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</w:t>
      </w:r>
      <w:r w:rsidR="0086099F" w:rsidRPr="0086099F">
        <w:rPr>
          <w:rFonts w:ascii="Times New Roman" w:eastAsia="Times New Roman" w:hAnsi="Times New Roman"/>
          <w:sz w:val="24"/>
          <w:szCs w:val="24"/>
          <w:lang w:eastAsia="ru-RU"/>
        </w:rPr>
        <w:t>, в 2018 году были выполнены проектные работы на проведение работ по капитальн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ремонту общего имущества двух</w:t>
      </w:r>
      <w:r w:rsidR="0086099F" w:rsidRPr="0086099F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орноправдинск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099F" w:rsidRDefault="0086099F" w:rsidP="0086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>Согласно краткосрочному плану реализации программы капитального ремонта, в 2019 году запланирован</w:t>
      </w:r>
      <w:r w:rsidR="008957C0">
        <w:rPr>
          <w:rFonts w:ascii="Times New Roman" w:eastAsia="Times New Roman" w:hAnsi="Times New Roman"/>
          <w:sz w:val="24"/>
          <w:szCs w:val="24"/>
          <w:lang w:eastAsia="ru-RU"/>
        </w:rPr>
        <w:t>ы капитальные ремонты</w:t>
      </w:r>
      <w:r w:rsidRPr="008609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имущества 11 многоквартирных д</w:t>
      </w:r>
      <w:r w:rsidR="008957C0">
        <w:rPr>
          <w:rFonts w:ascii="Times New Roman" w:eastAsia="Times New Roman" w:hAnsi="Times New Roman"/>
          <w:sz w:val="24"/>
          <w:szCs w:val="24"/>
          <w:lang w:eastAsia="ru-RU"/>
        </w:rPr>
        <w:t>омов на сумму 37 385 447,2 рублей.</w:t>
      </w:r>
    </w:p>
    <w:p w:rsidR="001C55FB" w:rsidRDefault="001C55FB" w:rsidP="0089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C55FB" w:rsidSect="001C55FB">
          <w:pgSz w:w="11906" w:h="16838"/>
          <w:pgMar w:top="1418" w:right="964" w:bottom="1134" w:left="1559" w:header="709" w:footer="709" w:gutter="0"/>
          <w:cols w:space="708"/>
          <w:docGrid w:linePitch="360"/>
        </w:sectPr>
      </w:pPr>
    </w:p>
    <w:p w:rsidR="001C55FB" w:rsidRP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3</w:t>
      </w:r>
    </w:p>
    <w:p w:rsidR="001C55FB" w:rsidRP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5FB" w:rsidRP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842"/>
      <w:bookmarkEnd w:id="1"/>
      <w:r w:rsidRPr="001C55FB">
        <w:rPr>
          <w:rFonts w:ascii="Times New Roman" w:eastAsia="Times New Roman" w:hAnsi="Times New Roman"/>
          <w:sz w:val="24"/>
          <w:szCs w:val="24"/>
          <w:lang w:eastAsia="ru-RU"/>
        </w:rPr>
        <w:t>Состояние платежной дисциплины и инвестиционной</w:t>
      </w:r>
    </w:p>
    <w:p w:rsidR="001C55FB" w:rsidRP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sz w:val="24"/>
          <w:szCs w:val="24"/>
          <w:lang w:eastAsia="ru-RU"/>
        </w:rPr>
        <w:t>политики в жилищно-коммунальном комплексе</w:t>
      </w:r>
    </w:p>
    <w:p w:rsidR="001C55FB" w:rsidRPr="001C55FB" w:rsidRDefault="007F1526" w:rsidP="001C55FB">
      <w:pPr>
        <w:tabs>
          <w:tab w:val="left" w:pos="4524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9.8pt;margin-top:13pt;width:302.25pt;height:0;z-index:251661312" o:connectortype="straight"/>
        </w:pict>
      </w:r>
      <w:r w:rsidR="001C55FB" w:rsidRPr="001C55FB">
        <w:rPr>
          <w:rFonts w:ascii="Times New Roman" w:eastAsiaTheme="minorHAnsi" w:hAnsi="Times New Roman"/>
          <w:sz w:val="24"/>
          <w:szCs w:val="24"/>
        </w:rPr>
        <w:t>Ханты-Мансийского района</w:t>
      </w:r>
    </w:p>
    <w:p w:rsidR="001C55FB" w:rsidRPr="001C55FB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1C55FB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p w:rsidR="001C55FB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9"/>
        <w:gridCol w:w="5668"/>
        <w:gridCol w:w="1489"/>
        <w:gridCol w:w="939"/>
        <w:gridCol w:w="939"/>
        <w:gridCol w:w="1028"/>
        <w:gridCol w:w="1275"/>
        <w:gridCol w:w="709"/>
        <w:gridCol w:w="851"/>
        <w:gridCol w:w="909"/>
      </w:tblGrid>
      <w:tr w:rsidR="00654092" w:rsidRPr="0090143F" w:rsidTr="0064616A">
        <w:trPr>
          <w:jc w:val="center"/>
        </w:trPr>
        <w:tc>
          <w:tcPr>
            <w:tcW w:w="65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 xml:space="preserve">№ </w:t>
            </w:r>
            <w:proofErr w:type="gramStart"/>
            <w:r w:rsidRPr="0090143F">
              <w:rPr>
                <w:rFonts w:ascii="Times New Roman" w:hAnsi="Times New Roman"/>
              </w:rPr>
              <w:t>п</w:t>
            </w:r>
            <w:proofErr w:type="gramEnd"/>
            <w:r w:rsidRPr="0090143F">
              <w:rPr>
                <w:rFonts w:ascii="Times New Roman" w:hAnsi="Times New Roman"/>
              </w:rPr>
              <w:t>/п</w:t>
            </w:r>
          </w:p>
        </w:tc>
        <w:tc>
          <w:tcPr>
            <w:tcW w:w="5668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2015</w:t>
            </w:r>
          </w:p>
        </w:tc>
        <w:tc>
          <w:tcPr>
            <w:tcW w:w="93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2016</w:t>
            </w:r>
          </w:p>
        </w:tc>
        <w:tc>
          <w:tcPr>
            <w:tcW w:w="1028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2020</w:t>
            </w:r>
          </w:p>
        </w:tc>
        <w:tc>
          <w:tcPr>
            <w:tcW w:w="909" w:type="dxa"/>
            <w:shd w:val="clear" w:color="auto" w:fill="auto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2021</w:t>
            </w:r>
          </w:p>
        </w:tc>
      </w:tr>
      <w:tr w:rsidR="00654092" w:rsidRPr="0090143F" w:rsidTr="0064616A">
        <w:trPr>
          <w:trHeight w:val="1637"/>
          <w:jc w:val="center"/>
        </w:trPr>
        <w:tc>
          <w:tcPr>
            <w:tcW w:w="659" w:type="dxa"/>
            <w:shd w:val="clear" w:color="auto" w:fill="auto"/>
          </w:tcPr>
          <w:p w:rsidR="0090143F" w:rsidRPr="0090143F" w:rsidRDefault="0090143F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90143F" w:rsidRPr="0090143F" w:rsidRDefault="0090143F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90143F">
              <w:rPr>
                <w:rFonts w:ascii="Times New Roman" w:hAnsi="Times New Roman"/>
              </w:rPr>
              <w:t>Доля просроченной кредиторской задолженности (2 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89" w:type="dxa"/>
            <w:shd w:val="clear" w:color="auto" w:fill="auto"/>
          </w:tcPr>
          <w:p w:rsidR="0090143F" w:rsidRPr="0090143F" w:rsidRDefault="0090143F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процентов</w:t>
            </w:r>
          </w:p>
          <w:p w:rsidR="0090143F" w:rsidRPr="0090143F" w:rsidRDefault="0090143F" w:rsidP="00F303F3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43F" w:rsidRPr="0090143F" w:rsidRDefault="00F35D6C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43F" w:rsidRPr="0090143F" w:rsidRDefault="00F35D6C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0143F" w:rsidRPr="0090143F" w:rsidRDefault="00F35D6C" w:rsidP="00F303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7522D" w:rsidRPr="0090143F" w:rsidTr="00D7522D">
        <w:trPr>
          <w:jc w:val="center"/>
        </w:trPr>
        <w:tc>
          <w:tcPr>
            <w:tcW w:w="659" w:type="dxa"/>
            <w:shd w:val="clear" w:color="auto" w:fill="auto"/>
          </w:tcPr>
          <w:p w:rsidR="00D7522D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D7522D" w:rsidRPr="0090143F" w:rsidRDefault="00D7522D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90143F">
              <w:rPr>
                <w:rFonts w:ascii="Times New Roman" w:hAnsi="Times New Roman"/>
              </w:rPr>
              <w:t xml:space="preserve">Фактический уровень собираемости взносов на капитальный ремонт общего имущества многоквартирных домов за отчетный период </w:t>
            </w:r>
          </w:p>
        </w:tc>
        <w:tc>
          <w:tcPr>
            <w:tcW w:w="1489" w:type="dxa"/>
            <w:shd w:val="clear" w:color="auto" w:fill="auto"/>
          </w:tcPr>
          <w:p w:rsidR="00D7522D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22D" w:rsidRPr="00D869DA" w:rsidRDefault="00D7522D" w:rsidP="00F303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22D" w:rsidRPr="00D869DA" w:rsidRDefault="00D7522D" w:rsidP="00F303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90,98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522D" w:rsidRPr="00D869DA" w:rsidRDefault="00D7522D" w:rsidP="00F303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522D" w:rsidRPr="00D869DA" w:rsidRDefault="00D7522D" w:rsidP="00F303F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2D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22D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7522D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</w:tr>
      <w:tr w:rsidR="00965D6C" w:rsidRPr="0090143F" w:rsidTr="0064616A">
        <w:trPr>
          <w:cantSplit/>
          <w:trHeight w:val="1833"/>
          <w:jc w:val="center"/>
        </w:trPr>
        <w:tc>
          <w:tcPr>
            <w:tcW w:w="659" w:type="dxa"/>
            <w:shd w:val="clear" w:color="auto" w:fill="auto"/>
          </w:tcPr>
          <w:p w:rsidR="00965D6C" w:rsidRPr="0090143F" w:rsidRDefault="00965D6C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965D6C" w:rsidRDefault="00965D6C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90143F">
              <w:rPr>
                <w:rFonts w:ascii="Times New Roman" w:hAnsi="Times New Roman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  <w:p w:rsidR="00965D6C" w:rsidRDefault="00965D6C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  <w:p w:rsidR="00965D6C" w:rsidRDefault="00965D6C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  <w:p w:rsidR="00965D6C" w:rsidRPr="0090143F" w:rsidRDefault="00965D6C" w:rsidP="00F303F3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89" w:type="dxa"/>
            <w:shd w:val="clear" w:color="auto" w:fill="auto"/>
          </w:tcPr>
          <w:p w:rsidR="00965D6C" w:rsidRPr="0090143F" w:rsidRDefault="00965D6C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в наличии/в разработке/ отсутствуют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965D6C" w:rsidRPr="0090143F" w:rsidRDefault="00965D6C" w:rsidP="0090143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отсутствуют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965D6C" w:rsidRPr="0090143F" w:rsidRDefault="00965D6C" w:rsidP="0090143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в наличии по теплоснабжению</w:t>
            </w:r>
          </w:p>
        </w:tc>
        <w:tc>
          <w:tcPr>
            <w:tcW w:w="1028" w:type="dxa"/>
            <w:shd w:val="clear" w:color="auto" w:fill="auto"/>
            <w:textDirection w:val="btLr"/>
            <w:vAlign w:val="center"/>
          </w:tcPr>
          <w:p w:rsidR="00965D6C" w:rsidRPr="0090143F" w:rsidRDefault="00965D6C" w:rsidP="0090143F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в наличии по  водоснабжению, теплоснабжению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65D6C" w:rsidRPr="0090143F" w:rsidRDefault="00965D6C" w:rsidP="0090143F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  <w:color w:val="000000"/>
              </w:rPr>
              <w:t>в наличии по  водоснабжению</w:t>
            </w:r>
            <w:r w:rsidR="0064616A">
              <w:rPr>
                <w:rFonts w:ascii="Times New Roman" w:hAnsi="Times New Roman"/>
                <w:color w:val="000000"/>
              </w:rPr>
              <w:t xml:space="preserve"> и водоотведению</w:t>
            </w:r>
            <w:r w:rsidRPr="0090143F">
              <w:rPr>
                <w:rFonts w:ascii="Times New Roman" w:hAnsi="Times New Roman"/>
                <w:color w:val="000000"/>
              </w:rPr>
              <w:t>, теплоснабжению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5D6C" w:rsidRPr="00965D6C" w:rsidRDefault="00965D6C" w:rsidP="00965D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</w:rPr>
            </w:pPr>
            <w:r w:rsidRPr="00965D6C">
              <w:rPr>
                <w:rFonts w:ascii="Times New Roman" w:eastAsiaTheme="minorHAnsi" w:hAnsi="Times New Roman"/>
              </w:rPr>
              <w:t>в наличии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65D6C" w:rsidRPr="00965D6C" w:rsidRDefault="00965D6C" w:rsidP="00965D6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65D6C">
              <w:rPr>
                <w:rFonts w:ascii="Times New Roman" w:eastAsiaTheme="minorHAnsi" w:hAnsi="Times New Roman"/>
              </w:rPr>
              <w:t>в наличии</w:t>
            </w: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965D6C" w:rsidRPr="00965D6C" w:rsidRDefault="00965D6C" w:rsidP="00965D6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65D6C">
              <w:rPr>
                <w:rFonts w:ascii="Times New Roman" w:eastAsiaTheme="minorHAnsi" w:hAnsi="Times New Roman"/>
              </w:rPr>
              <w:t>в наличии</w:t>
            </w:r>
          </w:p>
        </w:tc>
      </w:tr>
      <w:tr w:rsidR="00654092" w:rsidRPr="0090143F" w:rsidTr="0064616A">
        <w:trPr>
          <w:jc w:val="center"/>
        </w:trPr>
        <w:tc>
          <w:tcPr>
            <w:tcW w:w="659" w:type="dxa"/>
            <w:shd w:val="clear" w:color="auto" w:fill="auto"/>
          </w:tcPr>
          <w:p w:rsidR="0090143F" w:rsidRPr="0090143F" w:rsidRDefault="0090143F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90143F" w:rsidRPr="0090143F" w:rsidRDefault="0090143F" w:rsidP="00F303F3">
            <w:pPr>
              <w:contextualSpacing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  <w:r w:rsidRPr="0090143F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90143F" w:rsidRPr="0090143F" w:rsidRDefault="0090143F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43F" w:rsidRPr="0090143F" w:rsidRDefault="0090143F" w:rsidP="00F30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143F">
              <w:rPr>
                <w:rFonts w:ascii="Times New Roman" w:hAnsi="Times New Roman"/>
                <w:color w:val="000000"/>
              </w:rPr>
              <w:t>98,3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3F" w:rsidRPr="0090143F" w:rsidRDefault="0090143F" w:rsidP="00F303F3">
            <w:pPr>
              <w:contextualSpacing/>
              <w:jc w:val="center"/>
              <w:rPr>
                <w:rFonts w:ascii="Times New Roman" w:hAnsi="Times New Roman"/>
              </w:rPr>
            </w:pPr>
            <w:r w:rsidRPr="0090143F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43F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143F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0143F" w:rsidRPr="0090143F" w:rsidRDefault="00D7522D" w:rsidP="00F303F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7522D" w:rsidRDefault="00D7522D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5FB" w:rsidRPr="001C55FB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2. </w:t>
      </w:r>
      <w:proofErr w:type="gramStart"/>
      <w:r w:rsidRPr="001C55F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период.</w:t>
      </w:r>
      <w:proofErr w:type="gramEnd"/>
    </w:p>
    <w:p w:rsidR="001C55FB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67" w:type="pct"/>
        <w:tblLayout w:type="fixed"/>
        <w:tblLook w:val="04A0" w:firstRow="1" w:lastRow="0" w:firstColumn="1" w:lastColumn="0" w:noHBand="0" w:noVBand="1"/>
      </w:tblPr>
      <w:tblGrid>
        <w:gridCol w:w="566"/>
        <w:gridCol w:w="2517"/>
        <w:gridCol w:w="1164"/>
        <w:gridCol w:w="1216"/>
        <w:gridCol w:w="1167"/>
        <w:gridCol w:w="1167"/>
        <w:gridCol w:w="1167"/>
        <w:gridCol w:w="1167"/>
        <w:gridCol w:w="1167"/>
        <w:gridCol w:w="1167"/>
        <w:gridCol w:w="2811"/>
      </w:tblGrid>
      <w:tr w:rsidR="00E93C2D" w:rsidRPr="00E93C2D" w:rsidTr="00F10319">
        <w:trPr>
          <w:trHeight w:val="31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hAnsi="Times New Roman"/>
                <w:bCs/>
                <w:sz w:val="20"/>
                <w:szCs w:val="20"/>
              </w:rPr>
              <w:t>Завершённый период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hAnsi="Times New Roman"/>
                <w:b/>
                <w:bCs/>
                <w:sz w:val="20"/>
                <w:szCs w:val="20"/>
              </w:rPr>
              <w:t>Отчётный период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93C2D" w:rsidRPr="00E93C2D" w:rsidTr="00F10319">
        <w:trPr>
          <w:trHeight w:val="31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C2D" w:rsidRPr="00E93C2D" w:rsidTr="00F10319">
        <w:trPr>
          <w:trHeight w:val="315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7F1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15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DF376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211</w:t>
            </w:r>
            <w:r w:rsidR="00E93C2D"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216,4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2018 год значение показателя проставлено в соответствии с данными сведений единого реестра субъектов малого и среднего предпринимательства Федеральной налоговой службы на 01.01.2019</w:t>
            </w:r>
          </w:p>
        </w:tc>
      </w:tr>
      <w:tr w:rsidR="00E93C2D" w:rsidRPr="00E93C2D" w:rsidTr="00F10319">
        <w:trPr>
          <w:trHeight w:val="17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4 716 701,8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5 544 292,0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7F1526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6119252,0</w:t>
            </w:r>
            <w:r w:rsidR="00E93C2D"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6 443 027,0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7 236 218,2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7 743 527,4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8 284 328,4  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F10319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E93C2D"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анные Росстата</w:t>
            </w:r>
          </w:p>
        </w:tc>
      </w:tr>
      <w:tr w:rsidR="00E93C2D" w:rsidRPr="00E93C2D" w:rsidTr="00F10319">
        <w:trPr>
          <w:trHeight w:val="7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37,22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37,22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района производством сельскохозяйственной продукции занимаются 2 сельскохозяйственных кооператива – «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«Родина» и одно акционерное общество АО "Агрофирма".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отчетном периоде сельскохозяйственные организации не получили прибыли. </w:t>
            </w:r>
          </w:p>
        </w:tc>
      </w:tr>
      <w:tr w:rsidR="00E93C2D" w:rsidRPr="00E93C2D" w:rsidTr="00F10319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7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 w:rsidR="00E93C2D"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сообщение автомобильным транспортом осуществляется с населенными пунктами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Ярки,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Бобровский. </w:t>
            </w:r>
          </w:p>
        </w:tc>
      </w:tr>
      <w:tr w:rsidR="00E93C2D" w:rsidRPr="00E93C2D" w:rsidTr="00F10319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6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69 028,3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75 600,6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80 655,5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84 688,30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88 922,70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93 368,82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Основополагающим фактором роста оплаты труда работников крупных и средних предприятий района  остается топливно-энергетический комплекс. Уровень заработной платы по разделу «Добыча полезных ископаемых» в 2018 году составил более 90 тыс. рублей (2017 год - более 85 тыс. рублей).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34 452,3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34 434,2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34 444,8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38 465,9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39 003,6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40 566,8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42 189,5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43 055,8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41 389,1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48 768,9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49 435,8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51 413,2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53 469,7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6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60 241,7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60 138,5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62 507,8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61115,7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68 650,4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71 396,4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37 773,0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38 180,7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41 662,1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59 547,6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57 245,3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57 245,3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57 245,3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203BA8">
        <w:trPr>
          <w:trHeight w:val="54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учреждений</w:t>
            </w:r>
            <w:r w:rsidRPr="00E93C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24 809,6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40 069,8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36 246,5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203BA8" w:rsidP="00203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60 565,0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203BA8" w:rsidP="00203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60 565,0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203BA8" w:rsidP="00203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29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E93C2D" w:rsidRPr="00E93C2D" w:rsidTr="00F10319">
        <w:trPr>
          <w:trHeight w:val="27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1 - 6 лет, получающих дошкольную образовательную услугу и (или) услугу по их содержанию в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23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 стоящих на учете для определения в муниципальные дошкольные учреждения в возрасте: от 0 до 1,5 лет - 6 чел (по достижении детьми возраста 1,6 лет места будут предоставлены, с обращений родителей (законных представителей) с заявлением о зачислении в ДОУ); от 1,5  до 3 лет - 18 человек (заявлений на прием в дошкольное учреждение не поступало).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обращении родителей (законных представителей) с заявлением о зачислении в ДОУ, места будут предоставлены.</w:t>
            </w:r>
          </w:p>
        </w:tc>
      </w:tr>
      <w:tr w:rsidR="00E93C2D" w:rsidRPr="00E93C2D" w:rsidTr="00F10319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501E4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1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3501E4">
        <w:trPr>
          <w:trHeight w:val="1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</w:tr>
      <w:tr w:rsidR="00E93C2D" w:rsidRPr="00E93C2D" w:rsidTr="00F10319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501E4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13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83,7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85,0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5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427,8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485,7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469,5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B57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74,0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27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4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3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42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203BA8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Объектами культурного наследия являются деревянная церковь (сельский клуб) (нач. 19 в) с.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каменная церковь «Вознесенская» (конец XIX века) п.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церковь во имя иконы Пресвятой Богородицы "Всех скорбящих радость" с. Елизарово </w:t>
            </w:r>
          </w:p>
        </w:tc>
      </w:tr>
      <w:tr w:rsidR="00E93C2D" w:rsidRPr="00E93C2D" w:rsidTr="00F10319">
        <w:trPr>
          <w:trHeight w:val="2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37,6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38,8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41,0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71,6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72,5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32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E93C2D" w:rsidRPr="00E93C2D" w:rsidTr="00F10319">
        <w:trPr>
          <w:trHeight w:val="8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предварительным данным объем жилищного фонда Ханты-Мансийского района по состоянию на 1 января 2019 года составляет 451,5 тыс. кв. метров.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введено в действие 42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дома, в том числе 37 ИЖС, общей площадью 11 133,8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93C2D" w:rsidRPr="00E93C2D" w:rsidTr="00F10319">
        <w:trPr>
          <w:trHeight w:val="113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4 825,9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4 875,6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2018 год представлено 32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земельных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участка под строительство. Площадь земельных участков, предоставленных для строительства, зависит от процедуры предварительного согласования мест размещения объектов в соответствии с градостроительной документацией, от обеспечения земельных участков объектами коммунальной инфраструктуры, а также от инвестиционной активности. </w:t>
            </w:r>
          </w:p>
        </w:tc>
      </w:tr>
      <w:tr w:rsidR="00E93C2D" w:rsidRPr="00E93C2D" w:rsidTr="003501E4">
        <w:trPr>
          <w:trHeight w:val="18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площадь земельных участков, </w:t>
            </w:r>
            <w:r w:rsidRPr="00F10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для строительства</w:t>
            </w:r>
            <w:r w:rsidRPr="00F103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расчете на 10 тыс. </w:t>
            </w:r>
            <w:r w:rsidRPr="00F10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населения, в том числе</w:t>
            </w:r>
            <w:r w:rsidRPr="00F103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F10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целях жилищного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Гектар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2018 году проведено 9 аукционов с открытой формой подачи предложений по продаже права на заключение договоров аренды земельных участков, в целях жилищного строительства.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Отдельным категориям граждан, указанным в  ст. 7.4 Закона автономного округа от 6 июля 2005 года № 57-оз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однакратно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предоставлено 22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земельных участка.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  п. 2  ст. 39.6 однократно для завершения  строительства собственникам объектов незавершенного строительства предоставлено 10 земельных участков.</w:t>
            </w:r>
          </w:p>
        </w:tc>
      </w:tr>
      <w:tr w:rsidR="00E93C2D" w:rsidRPr="00E93C2D" w:rsidTr="00F10319">
        <w:trPr>
          <w:trHeight w:val="23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854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34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E93C2D" w:rsidRPr="00E93C2D" w:rsidTr="003501E4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выбрать способ управления данными домами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4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9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которых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 государственный кадастровый учет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501E4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1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6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501E4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501E4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1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5,4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показателя в 2018 году обусловлено следующим.                                                                                                                      В 2018 году в рамках мероприятий муниципальной программы "Улучшение жилищных условий жителей Ханты-Мансийского района" приобретено 204 жилых помещения. Жилые помещения переданы в муниципальную собственность сельских поселений для дальнейшего распределения. При этом из числа приобретенных жилых помещений 173 помещения  распределены для расселения аварийного жилого форда. В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чем численность населения, получившего жилые помещения и улучшившего жилищные условия в отчетном году из числа граждан, состоящих на учете в качестве нуждающегося в жилых помещениях не значительна. Кроме того на 31.12.2017  так же наблюдается увеличение показателя "Общая численность населения, состоящего на учете в качестве нуждающегося в жилых помещениях на конец прошлого года" (1 121 чел) по </w:t>
            </w: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сравнению с аналогичным периодом 2016 года (1 102 чел.). </w:t>
            </w:r>
          </w:p>
        </w:tc>
      </w:tr>
      <w:tr w:rsidR="00E93C2D" w:rsidRPr="00E93C2D" w:rsidTr="00F10319">
        <w:trPr>
          <w:trHeight w:val="27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E93C2D" w:rsidRPr="00E93C2D" w:rsidTr="00F10319">
        <w:trPr>
          <w:trHeight w:val="18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68,0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показателя  сложилось за счет прироста субсидий  и прочих безвозмездных поступлений.</w:t>
            </w:r>
          </w:p>
        </w:tc>
      </w:tr>
      <w:tr w:rsidR="00E93C2D" w:rsidRPr="00E93C2D" w:rsidTr="00F10319">
        <w:trPr>
          <w:trHeight w:val="15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389 941,9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316 365,8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884 614,3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785 983,2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390 609,1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74 298,0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5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3501E4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9 439,7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9 238,8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9 238,8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расходов на содержание работников ОМС в расчете на 1 жителя увеличилось в связи с повышением оплаты труда на 4 процента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42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19,675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19,651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19,862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3501E4">
        <w:trPr>
          <w:trHeight w:val="26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93C2D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E93C2D" w:rsidRPr="00E93C2D" w:rsidTr="003501E4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3501E4">
        <w:trPr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1 196,70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1 158,96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8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14,02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14,10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14,09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96,50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96,51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396,91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397,47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397,43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337,71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348,78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353,23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358,21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002413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C2D" w:rsidRPr="00E93C2D" w:rsidRDefault="00002413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C2D" w:rsidRPr="00E93C2D" w:rsidRDefault="00002413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C2D" w:rsidRPr="00E93C2D" w:rsidRDefault="00002413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C2D" w:rsidRPr="00E93C2D" w:rsidTr="00F10319">
        <w:trPr>
          <w:trHeight w:val="28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2,57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потребления холодной воды произошло в связи с вводом в эксплуатацию объекта "Трансформируемая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 в п.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Горноправдинске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Ханты-Мансийского  района", водопотребление </w:t>
            </w:r>
            <w:proofErr w:type="spell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необходио</w:t>
            </w:r>
            <w:proofErr w:type="spell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заливки льда хоккейного корда.</w:t>
            </w:r>
          </w:p>
        </w:tc>
      </w:tr>
      <w:tr w:rsidR="00E93C2D" w:rsidRPr="00E93C2D" w:rsidTr="00F10319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2014 года при подаче показаний приборов учета ответственным лицом подавались показания некорректно. В ходе контрольной проверки показания в 2018 году откорректированы.</w:t>
            </w:r>
          </w:p>
        </w:tc>
      </w:tr>
      <w:tr w:rsidR="00E93C2D" w:rsidRPr="00E93C2D" w:rsidTr="00F10319">
        <w:trPr>
          <w:trHeight w:val="26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93C2D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55FB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FB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1C55FB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1C55FB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1C55FB" w:rsidRPr="001C55FB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5FB" w:rsidRPr="001C55FB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55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3.1.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4F49A0" w:rsidRPr="004F49A0" w:rsidRDefault="001C55FB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5FB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4F49A0" w:rsidRPr="004F49A0">
        <w:rPr>
          <w:rFonts w:ascii="Times New Roman" w:hAnsi="Times New Roman"/>
          <w:sz w:val="24"/>
          <w:szCs w:val="24"/>
        </w:rPr>
        <w:t>В целях обеспечения информационной открытости деятельности администрации Ханты-Мансийского района и ее органов,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администрации Ханты-Мансийского района от 11.01.2017 № 2 «Об официальном сайте администрации Ханты-Мансийского района», а также предоставления полной и актуальной информации о деятельности администрации Ханты-Мансийского района</w:t>
      </w:r>
      <w:proofErr w:type="gramEnd"/>
      <w:r w:rsidR="004F49A0" w:rsidRPr="004F49A0">
        <w:rPr>
          <w:rFonts w:ascii="Times New Roman" w:hAnsi="Times New Roman"/>
          <w:sz w:val="24"/>
          <w:szCs w:val="24"/>
        </w:rPr>
        <w:t xml:space="preserve"> и ее органов, обеспечения  прав  граждан  и  организаций  на  получение информации о деятельности администрации Ханты-Мансийского района и ее органов, осуществляется бесперебойное функционирование программно-аппаратного комплекса официального сайта. 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 xml:space="preserve">Структура сайта организована под задачи органов местного самоуправления Ханты-Мансийского района. Информационное наполнение полностью соответствует требованиям Федеральных Законов №8-ФЗ, №59-ФЗ, №94-ФЗ, №98-ФЗ. Широкие функциональные возможности и адаптивный интерфейс позволяет решить большинство задач, связанных с созданием, планированием и развитием сайта органов местного самоуправления. В среднем за один месяц на сайте фиксируется более 20 тыс. посещений. Наиболее посещаемые разделы — это новости, телефонный справочник, почта (доступ к почтовому серверу @hmrn.ru), список руководителей, экономическое развитие, сельские поселения района, Ханты-Мансийский район - общая информация, структура администрации района, нормативно-правовые акты администрации района. 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На сайте организована система обратной связи населения с главой района в разделе «Обращения граждан», с помощью которого жители района имеют возможность поделиться своим мнением о работе администрации района, коммунальных служб, обозначить проблемы, требующие решения, получить разъяснения по интересующим вопросам.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предложений в адрес разработчика нормативных правовых актов на этапе проекта документа.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Для вовлечения широкой общественности района в процесс разработки Стратегии социально-экономического развития Ханты-Мансийского района до 2020 года и на период до 2030 года на сайте было организовано общественное обсуждение проектов.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На официальном сайте администрации района в отчетном году опубликовано 319 проектов нормативно-правовых актов, 126 распоряжений и 360 постановление администрации Ханты-Мансийского района.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Органом администрации, ответственным за информационное обеспечение, проводится обучение специалистов структурных подразделений администрации Ханты-Мансийского района, ответственных за представление информации для соответствующих разделов официального сайта администрации Ханты-Мансийского района. С правом редактирования и наполнения тематических разделов зарегистрировано 85 пользователя.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ab/>
        <w:t>В соответствии с Приложением 4 к постановлению администрации Ханты-Мансийского района от 11.01.2017 № 2 «Об официальном сайте администрации Ханты-Мансийского района» определена периодичность обновления соответствующих разделов.</w:t>
      </w:r>
    </w:p>
    <w:p w:rsidR="004F49A0" w:rsidRPr="004F49A0" w:rsidRDefault="004F49A0" w:rsidP="004F4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lastRenderedPageBreak/>
        <w:tab/>
        <w:t xml:space="preserve">Для повышения уровня информированности населения района, действуют соглашения об информационном взаимодействии между администрацией Ханты-Мансийского района и прокуратурой Ханты-Мансийского автономного округа – Югры, Управлением Федеральной службы судебных приставов по Ханты-Мансийскому автономному округу - Югре, Управлением Пенсионного фонда Российской Федерации в </w:t>
      </w:r>
      <w:proofErr w:type="spellStart"/>
      <w:r w:rsidRPr="004F49A0">
        <w:rPr>
          <w:rFonts w:ascii="Times New Roman" w:hAnsi="Times New Roman"/>
          <w:sz w:val="24"/>
          <w:szCs w:val="24"/>
        </w:rPr>
        <w:t>г</w:t>
      </w:r>
      <w:proofErr w:type="gramStart"/>
      <w:r w:rsidRPr="004F49A0">
        <w:rPr>
          <w:rFonts w:ascii="Times New Roman" w:hAnsi="Times New Roman"/>
          <w:sz w:val="24"/>
          <w:szCs w:val="24"/>
        </w:rPr>
        <w:t>.Х</w:t>
      </w:r>
      <w:proofErr w:type="gramEnd"/>
      <w:r w:rsidRPr="004F49A0">
        <w:rPr>
          <w:rFonts w:ascii="Times New Roman" w:hAnsi="Times New Roman"/>
          <w:sz w:val="24"/>
          <w:szCs w:val="24"/>
        </w:rPr>
        <w:t>анты-Мансийске</w:t>
      </w:r>
      <w:proofErr w:type="spellEnd"/>
      <w:r w:rsidRPr="004F49A0">
        <w:rPr>
          <w:rFonts w:ascii="Times New Roman" w:hAnsi="Times New Roman"/>
          <w:sz w:val="24"/>
          <w:szCs w:val="24"/>
        </w:rPr>
        <w:t xml:space="preserve"> ХМАО-Югры, Межрайонной инспекцией федеральной налоговой службы России № 1 по Ханты-Мансийскому автономному округу-Югре, Управлением Федеральной антимонопольной службы по Ханты-Мансийскому автономному округу – Югре, Думой Ханты-Мансийского района, Контрольно-счетной палатой Ханты-Мансийского района, территориальной избирательной комиссией Ханты-Мансийского района, муниципальным казенным учреждением Ханты-Мансийского района «Управление гражданской защиты», дающие право размещать на официальном сайте администрации Ханты-Мансийского района  в сети Интернет информацию о своей деятельности.</w:t>
      </w:r>
    </w:p>
    <w:p w:rsidR="001C55FB" w:rsidRPr="004F49A0" w:rsidRDefault="004F49A0" w:rsidP="004F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публичности, открытости деятельности администрации Ханты-Мансийского района, популяризации государственных и муниципальных услуг, освещении социально-значимых мероприятий, проводимых </w:t>
      </w:r>
      <w:proofErr w:type="gramStart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Ханты-Мансийском автономном округе — Югре созданы страницы в социальных сетях «</w:t>
      </w:r>
      <w:proofErr w:type="spellStart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», «Одноклассники», «</w:t>
      </w:r>
      <w:proofErr w:type="spellStart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Фэйсбук</w:t>
      </w:r>
      <w:proofErr w:type="spellEnd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Инстаграм</w:t>
      </w:r>
      <w:proofErr w:type="spellEnd"/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C55FB" w:rsidRPr="001C55FB" w:rsidRDefault="001C55FB" w:rsidP="001C55FB">
      <w:pPr>
        <w:spacing w:after="0" w:line="240" w:lineRule="auto"/>
        <w:jc w:val="both"/>
        <w:rPr>
          <w:rFonts w:eastAsia="Times New Roman"/>
          <w:color w:val="FF0000"/>
        </w:rPr>
      </w:pPr>
      <w:r w:rsidRPr="001C55FB">
        <w:rPr>
          <w:rFonts w:eastAsia="Times New Roman"/>
          <w:color w:val="FF0000"/>
        </w:rPr>
        <w:t xml:space="preserve"> </w:t>
      </w:r>
    </w:p>
    <w:p w:rsidR="001C55FB" w:rsidRPr="00F303F3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3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3.2.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F303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медийная</w:t>
      </w:r>
      <w:proofErr w:type="spellEnd"/>
      <w:r w:rsidRPr="00F303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 xml:space="preserve">В рамках работы по освещению деятельности администрации Ханты-Мансийского района, повышению информационной открытости органов местного самоуправления муниципалитета: 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 xml:space="preserve">1. Подготовлено и размещено на официальном сайте администрации Ханты-Мансийского района более 763 новостных сообщений о событиях </w:t>
      </w:r>
      <w:proofErr w:type="gramStart"/>
      <w:r w:rsidRPr="004F49A0">
        <w:rPr>
          <w:rFonts w:ascii="Times New Roman" w:hAnsi="Times New Roman"/>
          <w:sz w:val="24"/>
          <w:szCs w:val="24"/>
        </w:rPr>
        <w:t>в</w:t>
      </w:r>
      <w:proofErr w:type="gramEnd"/>
      <w:r w:rsidRPr="004F49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49A0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F49A0">
        <w:rPr>
          <w:rFonts w:ascii="Times New Roman" w:hAnsi="Times New Roman"/>
          <w:sz w:val="24"/>
          <w:szCs w:val="24"/>
        </w:rPr>
        <w:t xml:space="preserve"> районе и деятельности администрации района. Новостные материалы размещались в режиме «</w:t>
      </w:r>
      <w:proofErr w:type="spellStart"/>
      <w:r w:rsidRPr="004F49A0">
        <w:rPr>
          <w:rFonts w:ascii="Times New Roman" w:hAnsi="Times New Roman"/>
          <w:sz w:val="24"/>
          <w:szCs w:val="24"/>
        </w:rPr>
        <w:t>on-line</w:t>
      </w:r>
      <w:proofErr w:type="spellEnd"/>
      <w:r w:rsidRPr="004F49A0">
        <w:rPr>
          <w:rFonts w:ascii="Times New Roman" w:hAnsi="Times New Roman"/>
          <w:sz w:val="24"/>
          <w:szCs w:val="24"/>
        </w:rPr>
        <w:t>», также рассылались в окружные средства массовой информации, информационные агентства и на радиостанции. За год официальный сайт администрации района посетило не менее 280 тыс. пользователей сети Интернет.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>2. Редакцией газеты «Наш район» опубликовано: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 xml:space="preserve">новостных материалов, освещающих деятельность главы администрации Ханты-Мансийского района, </w:t>
      </w:r>
      <w:proofErr w:type="spellStart"/>
      <w:r w:rsidRPr="004F49A0">
        <w:rPr>
          <w:rFonts w:ascii="Times New Roman" w:hAnsi="Times New Roman"/>
          <w:sz w:val="24"/>
          <w:szCs w:val="24"/>
        </w:rPr>
        <w:t>и.о</w:t>
      </w:r>
      <w:proofErr w:type="spellEnd"/>
      <w:r w:rsidRPr="004F49A0">
        <w:rPr>
          <w:rFonts w:ascii="Times New Roman" w:hAnsi="Times New Roman"/>
          <w:sz w:val="24"/>
          <w:szCs w:val="24"/>
        </w:rPr>
        <w:t>. главы администрации района, главы Ханты-Мансийского района, комментариев по актуальным вопросам – 91;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</w:rPr>
        <w:t>публикаций о социально-экономическом развитии Ханты-Мансийского района, деятельности органов местного самоуправления района, мерах, предпринимаемых органами местного самоуправления для повышения качества жизни в муниципалитете, заметок, статей о различных мероприятиях, акциях, социально-значимых инициативах местного самоуправления, публикаций об актуальных для населения вопросах,</w:t>
      </w: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существующих в муниципалитете проблемах и мерах, предпринимаемых для их решения – 193.</w:t>
      </w:r>
    </w:p>
    <w:p w:rsidR="004F49A0" w:rsidRPr="004F49A0" w:rsidRDefault="004F49A0" w:rsidP="004F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статей, сообщений, информирующих население района о порядке предоставления муниципальных и государственных услуг, о новом в законодательстве, нормативно-правовой базе, пенсионном обеспечении, налогообложении, о предоставляемых льготах и формах социальной помощи, сообщений о различных формах консультирования населения – 97.</w:t>
      </w:r>
    </w:p>
    <w:p w:rsidR="004F49A0" w:rsidRPr="004F49A0" w:rsidRDefault="004F49A0" w:rsidP="004F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содействии администрации Ханты-Мансийского района газетой «Наш район» было подготовлено 249 статей, заметок и новостных сообщений, всесторонне </w:t>
      </w: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освещающих жизнь муниципалитета, а также деятельность органов местного самоуправления.</w:t>
      </w:r>
    </w:p>
    <w:p w:rsidR="004F49A0" w:rsidRPr="004F49A0" w:rsidRDefault="004F49A0" w:rsidP="004F49A0">
      <w:pPr>
        <w:ind w:firstLine="709"/>
        <w:jc w:val="both"/>
        <w:rPr>
          <w:color w:val="000000"/>
          <w:sz w:val="24"/>
          <w:szCs w:val="24"/>
        </w:rPr>
      </w:pP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газеты, публикации размещаются в новостной колонке официального сайта Ханты-Мансийского района и на сайте издания </w:t>
      </w:r>
      <w:hyperlink r:id="rId15" w:history="1"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gazeta</w:t>
        </w:r>
        <w:proofErr w:type="spellEnd"/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hmrn</w:t>
        </w:r>
        <w:proofErr w:type="spellEnd"/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49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сайте газеты размещались тематические статьи, новостные и информационные сообщения, полностью или частично посвященных деятельности органов местного самоуправления района. </w:t>
      </w:r>
      <w:r w:rsidRPr="004F49A0">
        <w:rPr>
          <w:rFonts w:ascii="Times New Roman" w:hAnsi="Times New Roman"/>
          <w:color w:val="000000"/>
          <w:sz w:val="24"/>
          <w:szCs w:val="24"/>
        </w:rPr>
        <w:t>За 2018 год сайт газеты посетило 62 тысячи пользователей сети Интернет.</w:t>
      </w:r>
    </w:p>
    <w:p w:rsidR="001C55FB" w:rsidRPr="00F303F3" w:rsidRDefault="001C55FB" w:rsidP="001C55F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03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3.3. </w:t>
      </w:r>
      <w:proofErr w:type="gramStart"/>
      <w:r w:rsidRPr="00F303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4F49A0" w:rsidRDefault="004F49A0" w:rsidP="004F49A0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Меры, принимаемые для повышения доступности и качества, предоставляемых населению муниципальных услуг</w:t>
      </w:r>
      <w:r w:rsidRPr="004F49A0">
        <w:rPr>
          <w:rFonts w:ascii="Times New Roman" w:hAnsi="Times New Roman"/>
          <w:sz w:val="24"/>
          <w:szCs w:val="24"/>
          <w:lang w:eastAsia="ru-RU"/>
        </w:rPr>
        <w:t>:</w:t>
      </w:r>
    </w:p>
    <w:p w:rsidR="004F49A0" w:rsidRPr="004F49A0" w:rsidRDefault="004F49A0" w:rsidP="004F49A0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F49A0">
        <w:rPr>
          <w:rFonts w:ascii="Times New Roman" w:hAnsi="Times New Roman"/>
          <w:sz w:val="24"/>
          <w:szCs w:val="24"/>
          <w:lang w:eastAsia="ru-RU"/>
        </w:rPr>
        <w:t>Предоставление государственных и муниципальных услуг посредством мобильного офиса МФЦ: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>администрацией Ханты-Мансийского района совместно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(МФЦ) в соответствии с заключенными соглашениями обеспечивается работа по предоставлению государственных и муниципальных услуг в населенных пунктах Ханты-Мансийского района;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 xml:space="preserve">государственные и муниципальные услуги, </w:t>
      </w:r>
      <w:proofErr w:type="gramStart"/>
      <w:r w:rsidRPr="004F49A0"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 w:rsidRPr="004F49A0">
        <w:rPr>
          <w:rFonts w:ascii="Times New Roman" w:hAnsi="Times New Roman"/>
          <w:sz w:val="24"/>
          <w:szCs w:val="24"/>
          <w:lang w:eastAsia="ru-RU"/>
        </w:rPr>
        <w:t xml:space="preserve"> получить посредством мобильного офиса МФЦ, выезжающего в населенные пункты Ханты-Мансийского района;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>мобильный офис МФЦ имеет площадку подъема инвалидных кресел, которая тестируется при подготовке автомобиля к выезду к месту оказания услуг;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>в 2018 году посредством мобильного офиса МФЦ осуществлялось предоставление 183 видов услуг, из которых 150 государственных услуг, 19 муниципальных услуг, 6 услуг корпораций, 7 услуг фондов и 1 услуга Уполномоченного по защите прав предпринимателей в автономном округе;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>выезд мобильного офиса МФЦ в населенные пункты Ханты-Мансийского района осуществлялся по утвержденному графику не реже 8 раз в месяц;</w:t>
      </w:r>
    </w:p>
    <w:p w:rsid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>в 2018 году количество обращений жителей Ханты-Мансийского района за получением муниципальных услуг по данным МФЦ Югры составило - 755 (обращение в МФЦ г. Ханты-Мансийска, ТОСП, мобильный офис)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F49A0" w:rsidRPr="004F49A0" w:rsidRDefault="004F49A0" w:rsidP="004F49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F49A0">
        <w:rPr>
          <w:rFonts w:ascii="Times New Roman" w:hAnsi="Times New Roman"/>
          <w:sz w:val="24"/>
          <w:szCs w:val="24"/>
          <w:lang w:eastAsia="ru-RU"/>
        </w:rPr>
        <w:t xml:space="preserve">Государственные и муниципальные </w:t>
      </w:r>
      <w:proofErr w:type="gramStart"/>
      <w:r w:rsidRPr="004F49A0">
        <w:rPr>
          <w:rFonts w:ascii="Times New Roman" w:hAnsi="Times New Roman"/>
          <w:sz w:val="24"/>
          <w:szCs w:val="24"/>
          <w:lang w:eastAsia="ru-RU"/>
        </w:rPr>
        <w:t>услуги</w:t>
      </w:r>
      <w:proofErr w:type="gramEnd"/>
      <w:r w:rsidRPr="004F49A0">
        <w:rPr>
          <w:rFonts w:ascii="Times New Roman" w:hAnsi="Times New Roman"/>
          <w:sz w:val="24"/>
          <w:szCs w:val="24"/>
          <w:lang w:eastAsia="ru-RU"/>
        </w:rPr>
        <w:t xml:space="preserve"> возможно также получить в уполномоченном МФЦ в городе Ханты-Мансийске, в ТОСП МФЦ, расположенных в поселках </w:t>
      </w:r>
      <w:proofErr w:type="spellStart"/>
      <w:r w:rsidRPr="004F49A0">
        <w:rPr>
          <w:rFonts w:ascii="Times New Roman" w:hAnsi="Times New Roman"/>
          <w:sz w:val="24"/>
          <w:szCs w:val="24"/>
          <w:lang w:eastAsia="ru-RU"/>
        </w:rPr>
        <w:t>Горноправдинск</w:t>
      </w:r>
      <w:proofErr w:type="spellEnd"/>
      <w:r w:rsidRPr="004F49A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49A0">
        <w:rPr>
          <w:rFonts w:ascii="Times New Roman" w:hAnsi="Times New Roman"/>
          <w:sz w:val="24"/>
          <w:szCs w:val="24"/>
          <w:lang w:eastAsia="ru-RU"/>
        </w:rPr>
        <w:t>Луговской</w:t>
      </w:r>
      <w:proofErr w:type="spellEnd"/>
      <w:r w:rsidRPr="004F49A0">
        <w:rPr>
          <w:rFonts w:ascii="Times New Roman" w:hAnsi="Times New Roman"/>
          <w:sz w:val="24"/>
          <w:szCs w:val="24"/>
          <w:lang w:eastAsia="ru-RU"/>
        </w:rPr>
        <w:t xml:space="preserve">, Кедровый, селе </w:t>
      </w:r>
      <w:proofErr w:type="spellStart"/>
      <w:r w:rsidRPr="004F49A0">
        <w:rPr>
          <w:rFonts w:ascii="Times New Roman" w:hAnsi="Times New Roman"/>
          <w:sz w:val="24"/>
          <w:szCs w:val="24"/>
          <w:lang w:eastAsia="ru-RU"/>
        </w:rPr>
        <w:t>Селиярово</w:t>
      </w:r>
      <w:proofErr w:type="spellEnd"/>
      <w:r w:rsidRPr="004F49A0">
        <w:rPr>
          <w:rFonts w:ascii="Times New Roman" w:hAnsi="Times New Roman"/>
          <w:sz w:val="24"/>
          <w:szCs w:val="24"/>
          <w:lang w:eastAsia="ru-RU"/>
        </w:rPr>
        <w:t>;</w:t>
      </w:r>
    </w:p>
    <w:p w:rsidR="004F49A0" w:rsidRDefault="004F49A0" w:rsidP="004F4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  <w:lang w:eastAsia="ru-RU"/>
        </w:rPr>
        <w:t xml:space="preserve">в 2018 году жителям Ханты-Мансийского района оказано 4829 услуг, из них 2881 – муниципальная услуга и 1948 – государственные услуги. </w:t>
      </w:r>
    </w:p>
    <w:p w:rsidR="004F49A0" w:rsidRPr="004F49A0" w:rsidRDefault="004F49A0" w:rsidP="004F4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F49A0">
        <w:rPr>
          <w:rFonts w:ascii="Times New Roman" w:hAnsi="Times New Roman"/>
          <w:sz w:val="24"/>
          <w:szCs w:val="24"/>
          <w:lang w:eastAsia="ru-RU"/>
        </w:rPr>
        <w:t>Предоставление государственных и муниципальных услуг в</w:t>
      </w:r>
      <w:r w:rsidRPr="004F49A0">
        <w:rPr>
          <w:rFonts w:ascii="Times New Roman" w:hAnsi="Times New Roman"/>
          <w:sz w:val="24"/>
          <w:szCs w:val="24"/>
        </w:rPr>
        <w:t xml:space="preserve"> электронном виде:</w:t>
      </w:r>
    </w:p>
    <w:p w:rsidR="004F49A0" w:rsidRPr="004F49A0" w:rsidRDefault="004F49A0" w:rsidP="004F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>в соответствии с утвержденным планом мероприятий по популяризации предоставления государственных и муниципальных услуг в электронной форме в 2018 году:</w:t>
      </w:r>
    </w:p>
    <w:p w:rsidR="004F49A0" w:rsidRPr="004F49A0" w:rsidRDefault="004F49A0" w:rsidP="004F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>- произведена регистрация и активация личного кабинета на ЕПГУ 241 жителя Ханты-Мансийского района. По данным Ростелекома по состоянию на 16.01.2018 доля зарегистрированных граждан Ханты-Мансийского района в единой системе идентификац</w:t>
      </w:r>
      <w:proofErr w:type="gramStart"/>
      <w:r w:rsidRPr="004F49A0">
        <w:rPr>
          <w:rFonts w:ascii="Times New Roman" w:hAnsi="Times New Roman"/>
          <w:sz w:val="24"/>
          <w:szCs w:val="24"/>
        </w:rPr>
        <w:t>ии и ау</w:t>
      </w:r>
      <w:proofErr w:type="gramEnd"/>
      <w:r w:rsidRPr="004F49A0">
        <w:rPr>
          <w:rFonts w:ascii="Times New Roman" w:hAnsi="Times New Roman"/>
          <w:sz w:val="24"/>
          <w:szCs w:val="24"/>
        </w:rPr>
        <w:t>тентификации составила 59%;</w:t>
      </w:r>
    </w:p>
    <w:p w:rsidR="004F49A0" w:rsidRPr="004F49A0" w:rsidRDefault="004F49A0" w:rsidP="004F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lastRenderedPageBreak/>
        <w:t>- помимо социальной сети «</w:t>
      </w:r>
      <w:proofErr w:type="spellStart"/>
      <w:r w:rsidRPr="004F49A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F49A0">
        <w:rPr>
          <w:rFonts w:ascii="Times New Roman" w:hAnsi="Times New Roman"/>
          <w:sz w:val="24"/>
          <w:szCs w:val="24"/>
        </w:rPr>
        <w:t xml:space="preserve">» тематическая страница организована в популярных социальных сетях </w:t>
      </w:r>
      <w:proofErr w:type="spellStart"/>
      <w:r w:rsidRPr="004F49A0">
        <w:rPr>
          <w:rFonts w:ascii="Times New Roman" w:hAnsi="Times New Roman"/>
          <w:sz w:val="24"/>
          <w:szCs w:val="24"/>
        </w:rPr>
        <w:t>Твиттер</w:t>
      </w:r>
      <w:proofErr w:type="spellEnd"/>
      <w:r w:rsidRPr="004F49A0">
        <w:rPr>
          <w:rFonts w:ascii="Times New Roman" w:hAnsi="Times New Roman"/>
          <w:sz w:val="24"/>
          <w:szCs w:val="24"/>
        </w:rPr>
        <w:t xml:space="preserve"> и Одноклассники, на которых в течение 2018 года размещались материалы, посвященные предоставлению услуг посредством ЕПГУ;</w:t>
      </w:r>
    </w:p>
    <w:p w:rsidR="004F49A0" w:rsidRDefault="004F49A0" w:rsidP="004F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>- жителям Ханты-Мансийского района обеспечен доступ к получению в электронном виде 36 услуг, оказываемых администрацией Ханты-Мансийского района (15 государственных услуг, 13 муниципальных услуг, 8 услуг муниципальных образовательных учреждений Ханты-Мансийского района).</w:t>
      </w:r>
    </w:p>
    <w:p w:rsidR="004F49A0" w:rsidRPr="004F49A0" w:rsidRDefault="004F49A0" w:rsidP="004F49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49A0">
        <w:rPr>
          <w:rFonts w:ascii="Times New Roman" w:hAnsi="Times New Roman"/>
          <w:sz w:val="24"/>
          <w:szCs w:val="24"/>
        </w:rPr>
        <w:t xml:space="preserve">Внесение изменений в административные регламенты предоставления муниципальных услуг в части доступности инвалидов к помещениям, в которых предоставляются муниципальные услуги (далее – Требования): </w:t>
      </w:r>
    </w:p>
    <w:p w:rsidR="004F49A0" w:rsidRPr="004F49A0" w:rsidRDefault="004F49A0" w:rsidP="004F4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9A0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помещениях на первом этаже здания. </w:t>
      </w:r>
      <w:r w:rsidRPr="004F49A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физической доступности для заявителей с ограничениями жизнедеятельности вход (выход) в здание и помещения, в которых предоставляются муниципальные услуги,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4F49A0" w:rsidRPr="004F49A0" w:rsidRDefault="004F49A0" w:rsidP="004F4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9A0">
        <w:rPr>
          <w:rFonts w:ascii="Times New Roman" w:hAnsi="Times New Roman"/>
          <w:sz w:val="24"/>
          <w:szCs w:val="24"/>
        </w:rPr>
        <w:t>Указанные выше Требования к помещениям предусмотрены во всех принятых 37 административных регламентах (100%).</w:t>
      </w:r>
    </w:p>
    <w:p w:rsidR="00603F3D" w:rsidRDefault="001C55FB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50BA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физической культуры и спорта</w:t>
      </w:r>
    </w:p>
    <w:p w:rsidR="00603F3D" w:rsidRDefault="001C55FB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для граждан с ограниченными возможностями реализуются в рамках муниципальной программы «Формирование доступной среды для инвалидов и других маломобильных групп населения </w:t>
      </w:r>
      <w:r w:rsidR="00603F3D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района на 2018 - 2020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годы». </w:t>
      </w:r>
      <w:proofErr w:type="gramStart"/>
      <w:r w:rsidR="00603F3D" w:rsidRPr="00603F3D">
        <w:rPr>
          <w:rFonts w:ascii="Times New Roman" w:eastAsia="Times New Roman" w:hAnsi="Times New Roman"/>
          <w:sz w:val="24"/>
          <w:szCs w:val="24"/>
          <w:lang w:eastAsia="ru-RU"/>
        </w:rPr>
        <w:t>Количество инвалидов, систематически занимающихся физической культурой и спортом в Ханты-Мансийском районе, составляет 139 человек (92 - занимающиеся в общественных организациях, 28 – занимающиеся в учреждениях культуры и досуга, 5 – учащиеся общеобразовательных школ, 14 – учащиеся группы АФК (МБУ ДО ДЮСШ Ханты-Мансийского района).</w:t>
      </w:r>
      <w:proofErr w:type="gramEnd"/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Мероприятия с данной категорией лиц в 2018 году осуществляются согласно муниципальной программе «Формирование доступной среды для инвалидов и других маломобильных групп населения Ханты-Мансийского района на 2018 - 2020 годы»: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 спортивный инвентарь и оборудование (активная коляска, комплект дротиков, комплект для игры в </w:t>
      </w:r>
      <w:proofErr w:type="spell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Бочче</w:t>
      </w:r>
      <w:proofErr w:type="spell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Новус</w:t>
      </w:r>
      <w:proofErr w:type="spell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3F3D" w:rsidRP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организованы</w:t>
      </w:r>
      <w:proofErr w:type="gram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2 учебно-тренировочных сбора.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Лица с ограниченными физическими возможностями принимают активное участие в спортивно-массовых мероприятиях района и округа: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1. Чемпионат ХМАО по легкой атлетике;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2. Первенство ХМАО-Югры по легкой атлетике среди лиц с ограниченными возможностями;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3. Окружной турнир по шахматам среди </w:t>
      </w:r>
      <w:proofErr w:type="gram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4. Окружной фестиваль «</w:t>
      </w:r>
      <w:proofErr w:type="gram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тернии к звездам»;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5. Чемпионат и Первенство ХМАО по настольному теннису в зачет Сур спартакиады;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6. Чемпионат и Первенство ХМАО по плаванию теннису в зачет Сур спартакиады.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7. Чемпионат и Первенство ХМАО по лыжным гонкам в зачет Сур спартакиады.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культуры.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 направлением работы муниципальных учреждений клубного типа является организация досуговой занятости населения, в том числе граждан с ограниченными возможностями здоровья. В 2018 году, с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целью реабилитации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лиц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ограниченными возможностями здоровья средствами художественного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творчества,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организовано 95 мероприятия непосредственно для данной категории граждан, 437 мероприятий с их участием, 3 967 мероприятия, доступных для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восприятия.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состоялся </w:t>
      </w:r>
      <w:proofErr w:type="spellStart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межпоселенческий</w:t>
      </w:r>
      <w:proofErr w:type="spell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«Я радость нахожу в друзьях». На базе культурно-досуговых учреждений продолжили работу 30 инклюзивных формирований, включающих в состав участников лица с ОВЗ количество участников 318 человек.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В целом, количество получателей услуг, оказываемых муниципальными учреждениями клубного типа, составило 1 514 человек.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данной категорией граждан систематически ведется общедоступными библиотеками района. Доступ граждан к информации обеспечивается общедоступными библиотеками района, оснащёнными специализированной литературой. Общий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 126 документов, в том числе 13 аудиокниг, 54 книг 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рельефно-точечного шрифта Брайля</w:t>
      </w:r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59 изданий с крупным шрифтом. Компьютерный парк общедоступной библиотеки </w:t>
      </w:r>
      <w:proofErr w:type="spellStart"/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Start"/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.Л</w:t>
      </w:r>
      <w:proofErr w:type="gramEnd"/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>уговской</w:t>
      </w:r>
      <w:proofErr w:type="spellEnd"/>
      <w:r w:rsidRPr="0060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оснащен компьютером для слабовидящих.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Lucida Sans Unicode" w:hAnsi="Times New Roman"/>
          <w:sz w:val="24"/>
          <w:szCs w:val="24"/>
          <w:lang w:eastAsia="ru-RU" w:bidi="en-US"/>
        </w:rPr>
        <w:t>В 2018 году количество пользователей данной категории составило 137 человек, на дому - 35 человек.</w:t>
      </w:r>
    </w:p>
    <w:p w:rsid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Lucida Sans Unicode" w:hAnsi="Times New Roman"/>
          <w:sz w:val="24"/>
          <w:szCs w:val="24"/>
          <w:lang w:eastAsia="ru-RU" w:bidi="en-US"/>
        </w:rPr>
        <w:t xml:space="preserve">За отчетный период директор МКУ Ханты-Мансийского района «ЦБС» прошел </w:t>
      </w:r>
      <w:proofErr w:type="gramStart"/>
      <w:r w:rsidRPr="00603F3D">
        <w:rPr>
          <w:rFonts w:ascii="Times New Roman" w:eastAsia="Lucida Sans Unicode" w:hAnsi="Times New Roman"/>
          <w:sz w:val="24"/>
          <w:szCs w:val="24"/>
          <w:lang w:eastAsia="ru-RU" w:bidi="en-US"/>
        </w:rPr>
        <w:t xml:space="preserve">обучение 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по вопросам</w:t>
      </w:r>
      <w:proofErr w:type="gramEnd"/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услуг инвалидам и лицам с ограниченными возможностями здоровья.</w:t>
      </w:r>
    </w:p>
    <w:p w:rsidR="00603F3D" w:rsidRPr="00603F3D" w:rsidRDefault="00603F3D" w:rsidP="00603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социологического исследования в сфере предоставления муниципальной услуги по осуществлению библиотечного, библиографического, и информационного обслуживания пользователей муниципального казенного учреждения Ханты-Мансийского района </w:t>
      </w:r>
      <w:r w:rsidRPr="00603F3D">
        <w:rPr>
          <w:rFonts w:ascii="Times New Roman" w:eastAsia="Lucida Sans Unicode" w:hAnsi="Times New Roman"/>
          <w:sz w:val="24"/>
          <w:szCs w:val="24"/>
          <w:lang w:eastAsia="ru-RU" w:bidi="en-US"/>
        </w:rPr>
        <w:t>«Централизованная библиотечная система» за 2018 год</w:t>
      </w:r>
      <w:r w:rsidR="000E38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</w:t>
      </w:r>
      <w:r w:rsidRPr="00603F3D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удовлетворенности опрошенных респондентов составил 96,3%. В анкетировании приняли участие 350 человек.</w:t>
      </w:r>
    </w:p>
    <w:p w:rsidR="001C55FB" w:rsidRPr="000E3893" w:rsidRDefault="001C55FB" w:rsidP="001C55F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3893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образования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hAnsi="Times New Roman"/>
          <w:sz w:val="24"/>
          <w:szCs w:val="24"/>
        </w:rPr>
        <w:t xml:space="preserve">Создание условий для реализации прав детей с ограниченными возможностями здоровья является одной из приоритетных задач развития образования </w:t>
      </w:r>
      <w:r w:rsidRPr="00CD4899">
        <w:rPr>
          <w:rFonts w:ascii="Times New Roman" w:hAnsi="Times New Roman"/>
          <w:sz w:val="24"/>
          <w:szCs w:val="24"/>
        </w:rPr>
        <w:br/>
        <w:t>Ханты-Мансийского района.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hAnsi="Times New Roman"/>
          <w:sz w:val="24"/>
          <w:szCs w:val="24"/>
        </w:rPr>
        <w:t xml:space="preserve">Образование детей с ограниченными возможностями здоровья и детей-инвалидов </w:t>
      </w:r>
      <w:proofErr w:type="gramStart"/>
      <w:r w:rsidRPr="00CD4899">
        <w:rPr>
          <w:rFonts w:ascii="Times New Roman" w:hAnsi="Times New Roman"/>
          <w:sz w:val="24"/>
          <w:szCs w:val="24"/>
        </w:rPr>
        <w:t>в</w:t>
      </w:r>
      <w:proofErr w:type="gramEnd"/>
      <w:r w:rsidRPr="00CD4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489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CD4899">
        <w:rPr>
          <w:rFonts w:ascii="Times New Roman" w:hAnsi="Times New Roman"/>
          <w:sz w:val="24"/>
          <w:szCs w:val="24"/>
        </w:rPr>
        <w:t xml:space="preserve"> районе осуществляется в условиях образовательных организаций или по заключению врачебной комиссии на дому. 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На 1 января 2019 года в общеобразовательных организациях района обучаются</w:t>
      </w:r>
      <w:r w:rsidR="00511B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205</w:t>
      </w:r>
      <w:r w:rsidR="00511B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детей с ограниченными возможностями здоровья и 35детей-инвалидов; в образовательных организациях, осуществляющих образовательную деятельность по реализации образовательных программ дошкольного образования, обучаются 106</w:t>
      </w:r>
      <w:r w:rsidR="00511B4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детей с ограниченными возможностями здоровья и 16 детей-инвалидов.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 xml:space="preserve">В общеобразовательных организациях района для детей с ограниченными возможностями здоровья, в том числе для детей-инвалидов, созданы специальные условия для получения образования: разработаны адаптированные общеобразовательные программы, организовано психолого-педагогическое сопровождение детей (коррекционно-развивающие занятия с педагогом-психологом, учителем-логопедом, учителем-дефектологом), педагогами используются </w:t>
      </w:r>
      <w:r w:rsidRPr="00CD4899">
        <w:rPr>
          <w:rFonts w:ascii="Times New Roman" w:eastAsiaTheme="minorEastAsia" w:hAnsi="Times New Roman"/>
          <w:spacing w:val="3"/>
          <w:sz w:val="24"/>
          <w:szCs w:val="24"/>
          <w:shd w:val="clear" w:color="auto" w:fill="FFFFFF"/>
          <w:lang w:eastAsia="ru-RU"/>
        </w:rPr>
        <w:t>специальные методы обучения и воспитания, специальные учебники, учебные пособия, дидактические материалы, адаптированные для</w:t>
      </w: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 с ограниченными возможностями здоровья.</w:t>
      </w:r>
      <w:proofErr w:type="gramEnd"/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Дети-инвалиды, которые по состоянию здоровья временно или постоянно не могут посещать общеобразовательные организации, обучаются по индивидуальной программе на дому. Основанием для организации обучения на дому ребёнка – инвалида являются заключение медицинской организации и в письменной форме обращение родителей (законных представителей). В 2018 учебном году организовано обучение 28 детей-</w:t>
      </w: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инвалидов на дому по общеобразовательным и адаптированным общеобразовательным программам. 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hAnsi="Times New Roman"/>
          <w:sz w:val="24"/>
          <w:szCs w:val="24"/>
        </w:rPr>
        <w:t xml:space="preserve">Охват общим и специальным образованием детей с ограниченными возможностями здоровья и детей-инвалидов составляет 100%. </w:t>
      </w:r>
    </w:p>
    <w:p w:rsidR="00511B48" w:rsidRDefault="00CD4899" w:rsidP="00511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Образовательные организации детям-инвалидам, обучающимся на дому:</w:t>
      </w:r>
    </w:p>
    <w:p w:rsidR="00CD4899" w:rsidRPr="00511B48" w:rsidRDefault="00CD4899" w:rsidP="00511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hAnsi="Times New Roman"/>
          <w:sz w:val="24"/>
          <w:szCs w:val="24"/>
        </w:rPr>
        <w:t>предоставляют бесплатно учебники, учебную и справочную литературу на время обучения;</w:t>
      </w:r>
    </w:p>
    <w:p w:rsidR="00CD4899" w:rsidRPr="00CD4899" w:rsidRDefault="00CD4899" w:rsidP="00CD4899">
      <w:pPr>
        <w:spacing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hAnsi="Times New Roman"/>
          <w:sz w:val="24"/>
          <w:szCs w:val="24"/>
        </w:rPr>
        <w:t>обеспечивают специалистами из числа педагогических работников;</w:t>
      </w:r>
    </w:p>
    <w:p w:rsidR="00CD4899" w:rsidRPr="00CD4899" w:rsidRDefault="00CD4899" w:rsidP="00CD48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hAnsi="Times New Roman"/>
          <w:sz w:val="24"/>
          <w:szCs w:val="24"/>
        </w:rPr>
        <w:t>оказывают методическую и консультативную помощь, необходимую для освоения общеобразовательных программ;</w:t>
      </w:r>
    </w:p>
    <w:p w:rsidR="00CD4899" w:rsidRPr="00CD4899" w:rsidRDefault="00CD4899" w:rsidP="00CD48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eastAsia="Times New Roman" w:hAnsi="Times New Roman"/>
          <w:sz w:val="24"/>
          <w:szCs w:val="24"/>
          <w:lang w:eastAsia="ru-RU"/>
        </w:rPr>
        <w:t>разрабатывают адаптированные образовательные программы и адаптированные основные общеобразовательные программы;</w:t>
      </w:r>
    </w:p>
    <w:p w:rsidR="00CD4899" w:rsidRPr="00CD4899" w:rsidRDefault="00CD4899" w:rsidP="00CD48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hAnsi="Times New Roman"/>
          <w:sz w:val="24"/>
          <w:szCs w:val="24"/>
        </w:rPr>
        <w:t>осуществляют промежуточную и итоговую аттестацию;</w:t>
      </w:r>
    </w:p>
    <w:p w:rsidR="00CD4899" w:rsidRPr="00CD4899" w:rsidRDefault="00CD4899" w:rsidP="00CD48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hAnsi="Times New Roman"/>
          <w:sz w:val="24"/>
          <w:szCs w:val="24"/>
        </w:rPr>
        <w:t>выдают прошедшим итоговую аттестацию документ государственного образца о соответствующем образовании;</w:t>
      </w:r>
    </w:p>
    <w:p w:rsidR="00CD4899" w:rsidRPr="00CD4899" w:rsidRDefault="00CD4899" w:rsidP="00CD48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899">
        <w:rPr>
          <w:rFonts w:ascii="Times New Roman" w:hAnsi="Times New Roman"/>
          <w:sz w:val="24"/>
          <w:szCs w:val="24"/>
        </w:rPr>
        <w:t>осуществляют психолого-педагогическое сопровождение детей-инвалидов.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В дошкольных образовательных организациях также создаются специальные условия для пребывания детей с ограниченными возможностями здоровья, в том числе для детей-инвалидов: разработаны адаптированные образовательные программы дошкольного образования для 119 детей, организовано психолого-педагогическое сопровождение, приобретено оборудование для развития общей и мелкой моторики, тренажёры для развития зрительного восприятия, речи, дидактические игры, спортивные тренажёры и др.</w:t>
      </w:r>
      <w:proofErr w:type="gramEnd"/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99">
        <w:rPr>
          <w:rFonts w:ascii="Times New Roman" w:hAnsi="Times New Roman"/>
          <w:sz w:val="24"/>
          <w:szCs w:val="24"/>
        </w:rPr>
        <w:t xml:space="preserve">В 37 (100%) образовательных организациях Ханты-Мансийского района имеются пандусы (капитальные и приставные). </w:t>
      </w:r>
      <w:proofErr w:type="gramStart"/>
      <w:r w:rsidRPr="00CD4899">
        <w:rPr>
          <w:rFonts w:ascii="Times New Roman" w:hAnsi="Times New Roman"/>
          <w:sz w:val="24"/>
          <w:szCs w:val="24"/>
        </w:rPr>
        <w:t>В рамках реализации муниципальной программы «Формирование доступной среды для инвалидов и других маломобильных групп населения Ханты-Мансийского района на 2018-2020 годы» (постановление администрации Ханты-Мансийского района от 10.11.2017 № 326), в соответствии с Постановлением Правительства Ханты-Мансийского автономного округа - Югры от 22.12.2017 № 542-п «О внесении изменений в приложение к постановлению Правительства Ханты-Мансийского автономного округа – Югры от 09.11.2013 года № 430-п «О государственной программе Ханты-Мансийского автономного</w:t>
      </w:r>
      <w:proofErr w:type="gramEnd"/>
      <w:r w:rsidRPr="00CD4899">
        <w:rPr>
          <w:rFonts w:ascii="Times New Roman" w:hAnsi="Times New Roman"/>
          <w:sz w:val="24"/>
          <w:szCs w:val="24"/>
        </w:rPr>
        <w:t xml:space="preserve"> округа - Югры «Доступная среда </w:t>
      </w:r>
      <w:proofErr w:type="gramStart"/>
      <w:r w:rsidRPr="00CD4899">
        <w:rPr>
          <w:rFonts w:ascii="Times New Roman" w:hAnsi="Times New Roman"/>
          <w:sz w:val="24"/>
          <w:szCs w:val="24"/>
        </w:rPr>
        <w:t>в</w:t>
      </w:r>
      <w:proofErr w:type="gramEnd"/>
      <w:r w:rsidRPr="00CD4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489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CD4899">
        <w:rPr>
          <w:rFonts w:ascii="Times New Roman" w:hAnsi="Times New Roman"/>
          <w:sz w:val="24"/>
          <w:szCs w:val="24"/>
        </w:rPr>
        <w:t xml:space="preserve"> автономном округе - Югре на 2016 - 2020 годы». В соответствии с постановлением администрации Ханты-Мансийского района от 07.08.2013 № 196 «Об организации обследования и формирования Паспортов доступности объектов социальной инфраструктуры» на все образовательные учреждения Ханты-Мансийского района имеются паспорта доступности.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CD4899">
        <w:rPr>
          <w:rFonts w:ascii="Times New Roman" w:eastAsiaTheme="minorEastAsia" w:hAnsi="Times New Roman"/>
          <w:bCs/>
          <w:sz w:val="24"/>
          <w:szCs w:val="24"/>
          <w:lang w:eastAsia="ru-RU"/>
        </w:rPr>
        <w:t>Дети-инвалиды и дети с ограниченными возможностями здоровья, не имеющие медицинских противопоказаний, охвачены физкультурно-спортивными мероприятиями, проводимыми в образовательных организациях Ханты-Мансийского района, на 100%.</w:t>
      </w:r>
    </w:p>
    <w:p w:rsidR="00CD4899" w:rsidRPr="00CD4899" w:rsidRDefault="00CD4899" w:rsidP="00CD48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4899">
        <w:rPr>
          <w:rFonts w:ascii="Times New Roman" w:eastAsiaTheme="minorEastAsia" w:hAnsi="Times New Roman"/>
          <w:sz w:val="24"/>
          <w:szCs w:val="24"/>
          <w:lang w:eastAsia="ru-RU"/>
        </w:rPr>
        <w:t>Удовлетворенность населения качеством общего образования в 2018 году составила 96,6% (2017 год – 96,5%), дошкольного образования 98,5% (2017 год – 98,5%), дополнительного образования 95,4% (2017 год - 95,4%).</w:t>
      </w:r>
    </w:p>
    <w:p w:rsidR="001C55FB" w:rsidRPr="00FA0971" w:rsidRDefault="001C55FB" w:rsidP="00CD48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C55FB" w:rsidRPr="00FA0971" w:rsidSect="001C55FB">
      <w:pgSz w:w="11906" w:h="16838"/>
      <w:pgMar w:top="1418" w:right="96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26" w:rsidRDefault="007F1526" w:rsidP="00FC061E">
      <w:pPr>
        <w:spacing w:after="0" w:line="240" w:lineRule="auto"/>
      </w:pPr>
      <w:r>
        <w:separator/>
      </w:r>
    </w:p>
  </w:endnote>
  <w:endnote w:type="continuationSeparator" w:id="0">
    <w:p w:rsidR="007F1526" w:rsidRDefault="007F1526" w:rsidP="00FC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26" w:rsidRDefault="007F1526" w:rsidP="00FC061E">
      <w:pPr>
        <w:spacing w:after="0" w:line="240" w:lineRule="auto"/>
      </w:pPr>
      <w:r>
        <w:separator/>
      </w:r>
    </w:p>
  </w:footnote>
  <w:footnote w:type="continuationSeparator" w:id="0">
    <w:p w:rsidR="007F1526" w:rsidRDefault="007F1526" w:rsidP="00FC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0192"/>
      <w:docPartObj>
        <w:docPartGallery w:val="Page Numbers (Top of Page)"/>
        <w:docPartUnique/>
      </w:docPartObj>
    </w:sdtPr>
    <w:sdtContent>
      <w:p w:rsidR="007F1526" w:rsidRDefault="007F15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13">
          <w:rPr>
            <w:noProof/>
          </w:rPr>
          <w:t>41</w:t>
        </w:r>
        <w:r>
          <w:fldChar w:fldCharType="end"/>
        </w:r>
      </w:p>
    </w:sdtContent>
  </w:sdt>
  <w:p w:rsidR="007F1526" w:rsidRDefault="007F152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E9"/>
    <w:multiLevelType w:val="hybridMultilevel"/>
    <w:tmpl w:val="A93CD0E2"/>
    <w:lvl w:ilvl="0" w:tplc="61601C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883"/>
    <w:multiLevelType w:val="hybridMultilevel"/>
    <w:tmpl w:val="9FECAE1E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65C70"/>
    <w:multiLevelType w:val="hybridMultilevel"/>
    <w:tmpl w:val="B4C2288C"/>
    <w:lvl w:ilvl="0" w:tplc="A57A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41DA0"/>
    <w:multiLevelType w:val="hybridMultilevel"/>
    <w:tmpl w:val="4CE67F84"/>
    <w:lvl w:ilvl="0" w:tplc="E408840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C3B90"/>
    <w:multiLevelType w:val="hybridMultilevel"/>
    <w:tmpl w:val="62D89306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55C15"/>
    <w:multiLevelType w:val="hybridMultilevel"/>
    <w:tmpl w:val="D8B06E54"/>
    <w:lvl w:ilvl="0" w:tplc="2FF0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9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4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0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A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E8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5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9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E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E36FF"/>
    <w:multiLevelType w:val="hybridMultilevel"/>
    <w:tmpl w:val="45CAE024"/>
    <w:lvl w:ilvl="0" w:tplc="BFEA2EDC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ADF"/>
    <w:multiLevelType w:val="multilevel"/>
    <w:tmpl w:val="0AC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8">
    <w:nsid w:val="26BD533A"/>
    <w:multiLevelType w:val="hybridMultilevel"/>
    <w:tmpl w:val="895856E8"/>
    <w:lvl w:ilvl="0" w:tplc="09B8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E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6B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8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0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46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2A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7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A5377"/>
    <w:multiLevelType w:val="hybridMultilevel"/>
    <w:tmpl w:val="CADAADDC"/>
    <w:lvl w:ilvl="0" w:tplc="325A28C0">
      <w:start w:val="1"/>
      <w:numFmt w:val="decimal"/>
      <w:lvlText w:val="%1."/>
      <w:lvlJc w:val="left"/>
      <w:pPr>
        <w:ind w:left="1401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F0055D"/>
    <w:multiLevelType w:val="hybridMultilevel"/>
    <w:tmpl w:val="1C60F5AE"/>
    <w:lvl w:ilvl="0" w:tplc="918898AA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A5399E"/>
    <w:multiLevelType w:val="hybridMultilevel"/>
    <w:tmpl w:val="2B388DEE"/>
    <w:lvl w:ilvl="0" w:tplc="7DC4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7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9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E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C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5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C3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3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A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14695"/>
    <w:multiLevelType w:val="hybridMultilevel"/>
    <w:tmpl w:val="EC2864B4"/>
    <w:lvl w:ilvl="0" w:tplc="325A28C0">
      <w:start w:val="1"/>
      <w:numFmt w:val="decimal"/>
      <w:lvlText w:val="%1."/>
      <w:lvlJc w:val="left"/>
      <w:pPr>
        <w:ind w:left="2393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E31908"/>
    <w:multiLevelType w:val="hybridMultilevel"/>
    <w:tmpl w:val="FF40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615C6"/>
    <w:multiLevelType w:val="hybridMultilevel"/>
    <w:tmpl w:val="E39C6010"/>
    <w:lvl w:ilvl="0" w:tplc="5770BA0C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AD45B7"/>
    <w:multiLevelType w:val="multilevel"/>
    <w:tmpl w:val="7062C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8" w:hanging="1800"/>
      </w:pPr>
      <w:rPr>
        <w:rFonts w:hint="default"/>
      </w:rPr>
    </w:lvl>
  </w:abstractNum>
  <w:abstractNum w:abstractNumId="16">
    <w:nsid w:val="55753D28"/>
    <w:multiLevelType w:val="hybridMultilevel"/>
    <w:tmpl w:val="DB7CE83C"/>
    <w:lvl w:ilvl="0" w:tplc="5638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4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3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8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2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8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01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4D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C0BB2"/>
    <w:multiLevelType w:val="hybridMultilevel"/>
    <w:tmpl w:val="2054BA9A"/>
    <w:lvl w:ilvl="0" w:tplc="3894F2CE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5D2B6F"/>
    <w:multiLevelType w:val="hybridMultilevel"/>
    <w:tmpl w:val="E1FC11A4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DA5594"/>
    <w:multiLevelType w:val="hybridMultilevel"/>
    <w:tmpl w:val="5B80BA20"/>
    <w:lvl w:ilvl="0" w:tplc="50D0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145A0D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1">
    <w:nsid w:val="688740A9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2">
    <w:nsid w:val="6A9C3D45"/>
    <w:multiLevelType w:val="hybridMultilevel"/>
    <w:tmpl w:val="6128C2A4"/>
    <w:lvl w:ilvl="0" w:tplc="BE9017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4B6DBB"/>
    <w:multiLevelType w:val="hybridMultilevel"/>
    <w:tmpl w:val="2DEE4A2E"/>
    <w:lvl w:ilvl="0" w:tplc="72C4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D545E2"/>
    <w:multiLevelType w:val="hybridMultilevel"/>
    <w:tmpl w:val="6F9C4098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036CE"/>
    <w:multiLevelType w:val="hybridMultilevel"/>
    <w:tmpl w:val="BF361A86"/>
    <w:lvl w:ilvl="0" w:tplc="5A58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22"/>
  </w:num>
  <w:num w:numId="7">
    <w:abstractNumId w:val="10"/>
  </w:num>
  <w:num w:numId="8">
    <w:abstractNumId w:val="19"/>
  </w:num>
  <w:num w:numId="9">
    <w:abstractNumId w:val="23"/>
  </w:num>
  <w:num w:numId="10">
    <w:abstractNumId w:val="25"/>
  </w:num>
  <w:num w:numId="11">
    <w:abstractNumId w:val="1"/>
  </w:num>
  <w:num w:numId="12">
    <w:abstractNumId w:val="24"/>
  </w:num>
  <w:num w:numId="13">
    <w:abstractNumId w:val="14"/>
  </w:num>
  <w:num w:numId="14">
    <w:abstractNumId w:val="17"/>
  </w:num>
  <w:num w:numId="15">
    <w:abstractNumId w:val="2"/>
  </w:num>
  <w:num w:numId="16">
    <w:abstractNumId w:val="18"/>
  </w:num>
  <w:num w:numId="17">
    <w:abstractNumId w:val="4"/>
  </w:num>
  <w:num w:numId="18">
    <w:abstractNumId w:val="9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21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94"/>
    <w:rsid w:val="000013F9"/>
    <w:rsid w:val="00002413"/>
    <w:rsid w:val="000042D6"/>
    <w:rsid w:val="000063D7"/>
    <w:rsid w:val="00023B05"/>
    <w:rsid w:val="000323EB"/>
    <w:rsid w:val="00034729"/>
    <w:rsid w:val="00040026"/>
    <w:rsid w:val="00041F4A"/>
    <w:rsid w:val="000464B3"/>
    <w:rsid w:val="00052FA6"/>
    <w:rsid w:val="000544AB"/>
    <w:rsid w:val="00056CFC"/>
    <w:rsid w:val="00064665"/>
    <w:rsid w:val="00071E16"/>
    <w:rsid w:val="000870AD"/>
    <w:rsid w:val="000C2320"/>
    <w:rsid w:val="000D52E0"/>
    <w:rsid w:val="000D745F"/>
    <w:rsid w:val="000E267A"/>
    <w:rsid w:val="000E3893"/>
    <w:rsid w:val="000E492A"/>
    <w:rsid w:val="000E7D96"/>
    <w:rsid w:val="000F0B97"/>
    <w:rsid w:val="00102DEB"/>
    <w:rsid w:val="001033D5"/>
    <w:rsid w:val="0011026F"/>
    <w:rsid w:val="00132817"/>
    <w:rsid w:val="001334C2"/>
    <w:rsid w:val="001515F0"/>
    <w:rsid w:val="00151BF9"/>
    <w:rsid w:val="0017689B"/>
    <w:rsid w:val="00177375"/>
    <w:rsid w:val="00185431"/>
    <w:rsid w:val="0019074A"/>
    <w:rsid w:val="00192CFA"/>
    <w:rsid w:val="00194585"/>
    <w:rsid w:val="00196EDC"/>
    <w:rsid w:val="001979F9"/>
    <w:rsid w:val="001B6909"/>
    <w:rsid w:val="001C1427"/>
    <w:rsid w:val="001C1447"/>
    <w:rsid w:val="001C55FB"/>
    <w:rsid w:val="001C5ED9"/>
    <w:rsid w:val="001C7871"/>
    <w:rsid w:val="001D10BD"/>
    <w:rsid w:val="001D1FFE"/>
    <w:rsid w:val="001D2977"/>
    <w:rsid w:val="00203BA8"/>
    <w:rsid w:val="00211A1F"/>
    <w:rsid w:val="00214DBD"/>
    <w:rsid w:val="00245C8D"/>
    <w:rsid w:val="002556A7"/>
    <w:rsid w:val="00261439"/>
    <w:rsid w:val="002675D7"/>
    <w:rsid w:val="00274259"/>
    <w:rsid w:val="0027742A"/>
    <w:rsid w:val="002811B3"/>
    <w:rsid w:val="00284325"/>
    <w:rsid w:val="00296F28"/>
    <w:rsid w:val="002A2E06"/>
    <w:rsid w:val="002C019D"/>
    <w:rsid w:val="002C3DCA"/>
    <w:rsid w:val="002C59B3"/>
    <w:rsid w:val="002D1702"/>
    <w:rsid w:val="002D35BB"/>
    <w:rsid w:val="002E3694"/>
    <w:rsid w:val="002F529F"/>
    <w:rsid w:val="002F54F2"/>
    <w:rsid w:val="0030043D"/>
    <w:rsid w:val="003111F8"/>
    <w:rsid w:val="003139C7"/>
    <w:rsid w:val="0031627B"/>
    <w:rsid w:val="003435C0"/>
    <w:rsid w:val="003462B1"/>
    <w:rsid w:val="003501E4"/>
    <w:rsid w:val="00362D44"/>
    <w:rsid w:val="00371FA8"/>
    <w:rsid w:val="0037487B"/>
    <w:rsid w:val="00381F28"/>
    <w:rsid w:val="00393F96"/>
    <w:rsid w:val="003A26EC"/>
    <w:rsid w:val="003B02EB"/>
    <w:rsid w:val="003B0BED"/>
    <w:rsid w:val="003B193B"/>
    <w:rsid w:val="003C0EA6"/>
    <w:rsid w:val="003C3208"/>
    <w:rsid w:val="003D2DB4"/>
    <w:rsid w:val="003D5DB5"/>
    <w:rsid w:val="003E176B"/>
    <w:rsid w:val="003E276F"/>
    <w:rsid w:val="003E3A4F"/>
    <w:rsid w:val="004121DB"/>
    <w:rsid w:val="004163C5"/>
    <w:rsid w:val="0041651F"/>
    <w:rsid w:val="004230BE"/>
    <w:rsid w:val="004234BF"/>
    <w:rsid w:val="004241C2"/>
    <w:rsid w:val="004268B2"/>
    <w:rsid w:val="00435A64"/>
    <w:rsid w:val="00455117"/>
    <w:rsid w:val="0045771C"/>
    <w:rsid w:val="00460803"/>
    <w:rsid w:val="00476B40"/>
    <w:rsid w:val="00483C9C"/>
    <w:rsid w:val="00492C08"/>
    <w:rsid w:val="004A5B20"/>
    <w:rsid w:val="004B097D"/>
    <w:rsid w:val="004B1C57"/>
    <w:rsid w:val="004C0DA0"/>
    <w:rsid w:val="004C74BD"/>
    <w:rsid w:val="004D30F9"/>
    <w:rsid w:val="004E1938"/>
    <w:rsid w:val="004E50F1"/>
    <w:rsid w:val="004F1010"/>
    <w:rsid w:val="004F49A0"/>
    <w:rsid w:val="00501220"/>
    <w:rsid w:val="00511B48"/>
    <w:rsid w:val="00516DEE"/>
    <w:rsid w:val="00520109"/>
    <w:rsid w:val="005242C3"/>
    <w:rsid w:val="0053492E"/>
    <w:rsid w:val="00544EA1"/>
    <w:rsid w:val="00556B88"/>
    <w:rsid w:val="00557FAA"/>
    <w:rsid w:val="00563DC0"/>
    <w:rsid w:val="00572740"/>
    <w:rsid w:val="0057346A"/>
    <w:rsid w:val="00576E85"/>
    <w:rsid w:val="005A0466"/>
    <w:rsid w:val="005A58D4"/>
    <w:rsid w:val="005B381A"/>
    <w:rsid w:val="005C1B93"/>
    <w:rsid w:val="005D2D58"/>
    <w:rsid w:val="005F5432"/>
    <w:rsid w:val="00603F3D"/>
    <w:rsid w:val="006074E5"/>
    <w:rsid w:val="006145C3"/>
    <w:rsid w:val="006212C5"/>
    <w:rsid w:val="00632483"/>
    <w:rsid w:val="00634319"/>
    <w:rsid w:val="0064616A"/>
    <w:rsid w:val="00654092"/>
    <w:rsid w:val="006562C0"/>
    <w:rsid w:val="00656DAC"/>
    <w:rsid w:val="00660344"/>
    <w:rsid w:val="00667E1D"/>
    <w:rsid w:val="00671303"/>
    <w:rsid w:val="0068416D"/>
    <w:rsid w:val="00684D55"/>
    <w:rsid w:val="00693010"/>
    <w:rsid w:val="00697ABA"/>
    <w:rsid w:val="006A23DA"/>
    <w:rsid w:val="006A2D7B"/>
    <w:rsid w:val="006C004F"/>
    <w:rsid w:val="006D3F81"/>
    <w:rsid w:val="006D57EF"/>
    <w:rsid w:val="006D7E49"/>
    <w:rsid w:val="006F2F1C"/>
    <w:rsid w:val="006F5AE2"/>
    <w:rsid w:val="006F6A8B"/>
    <w:rsid w:val="0071024A"/>
    <w:rsid w:val="00723C3B"/>
    <w:rsid w:val="00730191"/>
    <w:rsid w:val="00757A3E"/>
    <w:rsid w:val="0076124E"/>
    <w:rsid w:val="00766A68"/>
    <w:rsid w:val="00766D7F"/>
    <w:rsid w:val="00770171"/>
    <w:rsid w:val="00774FE9"/>
    <w:rsid w:val="007C30F6"/>
    <w:rsid w:val="007D2789"/>
    <w:rsid w:val="007E2DE6"/>
    <w:rsid w:val="007E4B49"/>
    <w:rsid w:val="007E4D0B"/>
    <w:rsid w:val="007F1526"/>
    <w:rsid w:val="007F240E"/>
    <w:rsid w:val="007F24E2"/>
    <w:rsid w:val="007F2598"/>
    <w:rsid w:val="007F36E8"/>
    <w:rsid w:val="007F5D15"/>
    <w:rsid w:val="007F5FF9"/>
    <w:rsid w:val="0080587F"/>
    <w:rsid w:val="0081206A"/>
    <w:rsid w:val="008203C2"/>
    <w:rsid w:val="0083499C"/>
    <w:rsid w:val="00842DE7"/>
    <w:rsid w:val="00843FF3"/>
    <w:rsid w:val="00845416"/>
    <w:rsid w:val="00853734"/>
    <w:rsid w:val="00854FD5"/>
    <w:rsid w:val="0086099F"/>
    <w:rsid w:val="00864A2A"/>
    <w:rsid w:val="00890DAD"/>
    <w:rsid w:val="008957C0"/>
    <w:rsid w:val="008A0FF0"/>
    <w:rsid w:val="008A5BE0"/>
    <w:rsid w:val="008B2475"/>
    <w:rsid w:val="008B7F10"/>
    <w:rsid w:val="008C063E"/>
    <w:rsid w:val="0090133E"/>
    <w:rsid w:val="0090143F"/>
    <w:rsid w:val="00920A35"/>
    <w:rsid w:val="00920A94"/>
    <w:rsid w:val="00941643"/>
    <w:rsid w:val="00965D6C"/>
    <w:rsid w:val="00970D1D"/>
    <w:rsid w:val="00971B3B"/>
    <w:rsid w:val="009800F2"/>
    <w:rsid w:val="009A2BD2"/>
    <w:rsid w:val="009E6956"/>
    <w:rsid w:val="009F01EF"/>
    <w:rsid w:val="009F633D"/>
    <w:rsid w:val="00A0361E"/>
    <w:rsid w:val="00A1437C"/>
    <w:rsid w:val="00A27858"/>
    <w:rsid w:val="00A413FE"/>
    <w:rsid w:val="00A57A32"/>
    <w:rsid w:val="00A60691"/>
    <w:rsid w:val="00A61DFB"/>
    <w:rsid w:val="00A6618D"/>
    <w:rsid w:val="00A732C5"/>
    <w:rsid w:val="00A813D6"/>
    <w:rsid w:val="00A853F3"/>
    <w:rsid w:val="00A85BB0"/>
    <w:rsid w:val="00A96E9B"/>
    <w:rsid w:val="00AB0F40"/>
    <w:rsid w:val="00AB33DA"/>
    <w:rsid w:val="00AC641A"/>
    <w:rsid w:val="00AC6BA3"/>
    <w:rsid w:val="00AD782E"/>
    <w:rsid w:val="00AF7345"/>
    <w:rsid w:val="00B03742"/>
    <w:rsid w:val="00B33793"/>
    <w:rsid w:val="00B34AD4"/>
    <w:rsid w:val="00B55D91"/>
    <w:rsid w:val="00B57069"/>
    <w:rsid w:val="00B605E7"/>
    <w:rsid w:val="00B67C80"/>
    <w:rsid w:val="00B7256C"/>
    <w:rsid w:val="00B7772B"/>
    <w:rsid w:val="00B832C0"/>
    <w:rsid w:val="00B834E7"/>
    <w:rsid w:val="00B8717F"/>
    <w:rsid w:val="00B87E67"/>
    <w:rsid w:val="00B94EC8"/>
    <w:rsid w:val="00BB4AE6"/>
    <w:rsid w:val="00BB67A6"/>
    <w:rsid w:val="00BB7EBD"/>
    <w:rsid w:val="00BC1857"/>
    <w:rsid w:val="00BC1D59"/>
    <w:rsid w:val="00BE36C7"/>
    <w:rsid w:val="00BE3E19"/>
    <w:rsid w:val="00BF3633"/>
    <w:rsid w:val="00BF54A4"/>
    <w:rsid w:val="00BF7767"/>
    <w:rsid w:val="00C01CF6"/>
    <w:rsid w:val="00C077B4"/>
    <w:rsid w:val="00C145C3"/>
    <w:rsid w:val="00C32C10"/>
    <w:rsid w:val="00C32E69"/>
    <w:rsid w:val="00C36DFD"/>
    <w:rsid w:val="00C52004"/>
    <w:rsid w:val="00C53BA3"/>
    <w:rsid w:val="00CA0C2C"/>
    <w:rsid w:val="00CA706A"/>
    <w:rsid w:val="00CB0E45"/>
    <w:rsid w:val="00CB248F"/>
    <w:rsid w:val="00CD4899"/>
    <w:rsid w:val="00CE2D0B"/>
    <w:rsid w:val="00CE6C80"/>
    <w:rsid w:val="00CF59DD"/>
    <w:rsid w:val="00D0092F"/>
    <w:rsid w:val="00D225B7"/>
    <w:rsid w:val="00D32701"/>
    <w:rsid w:val="00D53307"/>
    <w:rsid w:val="00D5372F"/>
    <w:rsid w:val="00D7522D"/>
    <w:rsid w:val="00D817F7"/>
    <w:rsid w:val="00D9125B"/>
    <w:rsid w:val="00DA590C"/>
    <w:rsid w:val="00DB5B99"/>
    <w:rsid w:val="00DE29C4"/>
    <w:rsid w:val="00DE724A"/>
    <w:rsid w:val="00DE7EB7"/>
    <w:rsid w:val="00DF3764"/>
    <w:rsid w:val="00DF796A"/>
    <w:rsid w:val="00E00C1E"/>
    <w:rsid w:val="00E1228B"/>
    <w:rsid w:val="00E1586D"/>
    <w:rsid w:val="00E205B2"/>
    <w:rsid w:val="00E27506"/>
    <w:rsid w:val="00E32C38"/>
    <w:rsid w:val="00E337C6"/>
    <w:rsid w:val="00E514F6"/>
    <w:rsid w:val="00E53920"/>
    <w:rsid w:val="00E57123"/>
    <w:rsid w:val="00E6210E"/>
    <w:rsid w:val="00E76298"/>
    <w:rsid w:val="00E805A5"/>
    <w:rsid w:val="00E87AA2"/>
    <w:rsid w:val="00E93C2D"/>
    <w:rsid w:val="00E93E2B"/>
    <w:rsid w:val="00E96670"/>
    <w:rsid w:val="00EA05B8"/>
    <w:rsid w:val="00EB2760"/>
    <w:rsid w:val="00EB50BA"/>
    <w:rsid w:val="00EF636C"/>
    <w:rsid w:val="00F10319"/>
    <w:rsid w:val="00F303F3"/>
    <w:rsid w:val="00F35106"/>
    <w:rsid w:val="00F35D6C"/>
    <w:rsid w:val="00F45819"/>
    <w:rsid w:val="00F61F9A"/>
    <w:rsid w:val="00F62872"/>
    <w:rsid w:val="00F719A6"/>
    <w:rsid w:val="00F71AB8"/>
    <w:rsid w:val="00F75A97"/>
    <w:rsid w:val="00F804B4"/>
    <w:rsid w:val="00F8741C"/>
    <w:rsid w:val="00F9325F"/>
    <w:rsid w:val="00FA0971"/>
    <w:rsid w:val="00FA41BF"/>
    <w:rsid w:val="00FB07E8"/>
    <w:rsid w:val="00FB0C5A"/>
    <w:rsid w:val="00FB3659"/>
    <w:rsid w:val="00FB590B"/>
    <w:rsid w:val="00FC061E"/>
    <w:rsid w:val="00FC32B6"/>
    <w:rsid w:val="00FC59E0"/>
    <w:rsid w:val="00FE27D9"/>
    <w:rsid w:val="00FF0645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3010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01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D5DB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D5D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D5D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6C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93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3010"/>
    <w:rPr>
      <w:rFonts w:ascii="Calibri" w:eastAsia="Calibri" w:hAnsi="Calibri" w:cs="Times New Roman"/>
    </w:rPr>
  </w:style>
  <w:style w:type="paragraph" w:styleId="a8">
    <w:name w:val="Body Text First Indent"/>
    <w:basedOn w:val="a6"/>
    <w:link w:val="a9"/>
    <w:rsid w:val="0069301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69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930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3010"/>
    <w:rPr>
      <w:rFonts w:ascii="Calibri" w:eastAsia="Calibri" w:hAnsi="Calibri" w:cs="Times New Roman"/>
    </w:rPr>
  </w:style>
  <w:style w:type="paragraph" w:styleId="21">
    <w:name w:val="Body Text First Indent 2"/>
    <w:basedOn w:val="aa"/>
    <w:link w:val="22"/>
    <w:rsid w:val="00693010"/>
    <w:pPr>
      <w:spacing w:line="240" w:lineRule="auto"/>
      <w:ind w:firstLine="21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2">
    <w:name w:val="Красная строка 2 Знак"/>
    <w:basedOn w:val="ab"/>
    <w:link w:val="21"/>
    <w:rsid w:val="0069301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2D17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2D1702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2D1702"/>
    <w:rPr>
      <w:color w:val="0000FF"/>
      <w:u w:val="single"/>
    </w:rPr>
  </w:style>
  <w:style w:type="paragraph" w:customStyle="1" w:styleId="ConsPlusNonformat">
    <w:name w:val="ConsPlusNonformat"/>
    <w:uiPriority w:val="99"/>
    <w:rsid w:val="000323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uiPriority w:val="99"/>
    <w:qFormat/>
    <w:rsid w:val="00632483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0"/>
    <w:uiPriority w:val="99"/>
    <w:locked/>
    <w:rsid w:val="0063248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1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1C55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uiPriority w:val="10"/>
    <w:qFormat/>
    <w:rsid w:val="000870AD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0870AD"/>
    <w:rPr>
      <w:rFonts w:ascii="Times New Roman" w:eastAsia="Times New Roman" w:hAnsi="Times New Roman" w:cs="Times New Roman"/>
      <w:b/>
      <w:sz w:val="25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61E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6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8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2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3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5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3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3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gazeta-hmrn.ru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</a:rPr>
              <a:t>Численность населения (чел.)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(чел.)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1.98166569143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371432477504365E-2"/>
                  <c:y val="-3.560012150122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686233817554469E-2"/>
                  <c:y val="-2.76733429877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168858254758208E-2"/>
                  <c:y val="-2.6101845746607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_(* #,##0_);_(* \(#,##0\);_(* "-"_);_(@_)</c:formatCode>
                <c:ptCount val="4"/>
                <c:pt idx="0">
                  <c:v>19623</c:v>
                </c:pt>
                <c:pt idx="1">
                  <c:v>19680</c:v>
                </c:pt>
                <c:pt idx="2">
                  <c:v>20043</c:v>
                </c:pt>
                <c:pt idx="3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564928"/>
        <c:axId val="115566464"/>
        <c:axId val="0"/>
      </c:bar3DChart>
      <c:catAx>
        <c:axId val="1155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566464"/>
        <c:crosses val="autoZero"/>
        <c:auto val="1"/>
        <c:lblAlgn val="ctr"/>
        <c:lblOffset val="100"/>
        <c:noMultiLvlLbl val="0"/>
      </c:catAx>
      <c:valAx>
        <c:axId val="115566464"/>
        <c:scaling>
          <c:orientation val="minMax"/>
          <c:max val="21000"/>
        </c:scaling>
        <c:delete val="0"/>
        <c:axPos val="l"/>
        <c:majorGridlines>
          <c:spPr>
            <a:ln>
              <a:noFill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>
            <a:gradFill>
              <a:gsLst>
                <a:gs pos="0">
                  <a:srgbClr val="FFEFD1"/>
                </a:gs>
                <a:gs pos="53000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</a:ln>
        </c:spPr>
        <c:crossAx val="11556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277</c:v>
                </c:pt>
                <c:pt idx="1">
                  <c:v>259</c:v>
                </c:pt>
                <c:pt idx="2">
                  <c:v>213</c:v>
                </c:pt>
                <c:pt idx="3">
                  <c:v>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197</c:v>
                </c:pt>
                <c:pt idx="1">
                  <c:v>183</c:v>
                </c:pt>
                <c:pt idx="2">
                  <c:v>150</c:v>
                </c:pt>
                <c:pt idx="3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50144"/>
        <c:axId val="1169516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76</c:v>
                </c:pt>
                <c:pt idx="2">
                  <c:v>63</c:v>
                </c:pt>
                <c:pt idx="3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979584"/>
        <c:axId val="116978048"/>
      </c:lineChart>
      <c:catAx>
        <c:axId val="1169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951680"/>
        <c:crosses val="autoZero"/>
        <c:auto val="1"/>
        <c:lblAlgn val="ctr"/>
        <c:lblOffset val="100"/>
        <c:noMultiLvlLbl val="0"/>
      </c:catAx>
      <c:valAx>
        <c:axId val="116951680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950144"/>
        <c:crosses val="autoZero"/>
        <c:crossBetween val="between"/>
      </c:valAx>
      <c:valAx>
        <c:axId val="116978048"/>
        <c:scaling>
          <c:orientation val="minMax"/>
          <c:max val="85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116979584"/>
        <c:crosses val="max"/>
        <c:crossBetween val="between"/>
      </c:valAx>
      <c:catAx>
        <c:axId val="116979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6978048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1"/>
              <c:layout>
                <c:manualLayout>
                  <c:x val="0"/>
                  <c:y val="-6.6431740946019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-188</c:v>
                </c:pt>
                <c:pt idx="1">
                  <c:v>-19</c:v>
                </c:pt>
                <c:pt idx="2">
                  <c:v>300</c:v>
                </c:pt>
                <c:pt idx="3">
                  <c:v>-85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118622464"/>
        <c:axId val="118628352"/>
      </c:barChart>
      <c:catAx>
        <c:axId val="1186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628352"/>
        <c:crosses val="autoZero"/>
        <c:auto val="1"/>
        <c:lblAlgn val="ctr"/>
        <c:lblOffset val="100"/>
        <c:noMultiLvlLbl val="0"/>
      </c:catAx>
      <c:valAx>
        <c:axId val="118628352"/>
        <c:scaling>
          <c:orientation val="minMax"/>
          <c:max val="4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layout/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62246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2.7777777777777776E-2"/>
          <c:w val="0.94907407407407407"/>
          <c:h val="0.46396669166354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0"/>
          </c:dPt>
          <c:dPt>
            <c:idx val="3"/>
            <c:bubble3D val="0"/>
            <c:explosion val="24"/>
          </c:dPt>
          <c:dLbls>
            <c:dLbl>
              <c:idx val="0"/>
              <c:layout>
                <c:manualLayout>
                  <c:x val="-6.3135662729658787E-2"/>
                  <c:y val="0.16219816272965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37602070574512"/>
                  <c:y val="3.038620172478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03922426363372E-2"/>
                  <c:y val="4.04124484439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713145231846019E-2"/>
                  <c:y val="-6.2215973003374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сборов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"-"?\ _₽_-;_-@_-</c:formatCode>
                <c:ptCount val="4"/>
                <c:pt idx="0">
                  <c:v>448464.3</c:v>
                </c:pt>
                <c:pt idx="1">
                  <c:v>1565.5</c:v>
                </c:pt>
                <c:pt idx="2">
                  <c:v>2502.1999999999998</c:v>
                </c:pt>
                <c:pt idx="3">
                  <c:v>75.900000000000006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52066331638815866"/>
          <c:w val="0.99785785374090341"/>
          <c:h val="0.479336804134996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5.1735102831186382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287788994984754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110464114696915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добыча сырой нефти и природного газа</c:v>
                </c:pt>
                <c:pt idx="1">
                  <c:v>предоставление услуг в области добычи полезных 
ископаемых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здравоохранения и социальных услуг</c:v>
                </c:pt>
                <c:pt idx="6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Лист1!$B$2:$B$8</c:f>
              <c:numCache>
                <c:formatCode>_(* #,##0_);_(* \(#,##0\);_(* "-"_);_(@_)</c:formatCode>
                <c:ptCount val="7"/>
                <c:pt idx="0">
                  <c:v>97535</c:v>
                </c:pt>
                <c:pt idx="1">
                  <c:v>88618</c:v>
                </c:pt>
                <c:pt idx="2">
                  <c:v>84195</c:v>
                </c:pt>
                <c:pt idx="3">
                  <c:v>48373</c:v>
                </c:pt>
                <c:pt idx="4">
                  <c:v>51447</c:v>
                </c:pt>
                <c:pt idx="5">
                  <c:v>56335</c:v>
                </c:pt>
                <c:pt idx="6">
                  <c:v>56057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732288"/>
        <c:axId val="118733824"/>
      </c:radarChart>
      <c:catAx>
        <c:axId val="11873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733824"/>
        <c:crosses val="autoZero"/>
        <c:auto val="1"/>
        <c:lblAlgn val="ctr"/>
        <c:lblOffset val="100"/>
        <c:noMultiLvlLbl val="0"/>
      </c:catAx>
      <c:valAx>
        <c:axId val="118733824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1873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0068-CA5F-4AE8-A77A-1C543D1D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41</Pages>
  <Words>11151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Татьяна Алексеевна</dc:creator>
  <cp:lastModifiedBy>Горень Т.Н.</cp:lastModifiedBy>
  <cp:revision>173</cp:revision>
  <cp:lastPrinted>2019-04-24T09:49:00Z</cp:lastPrinted>
  <dcterms:created xsi:type="dcterms:W3CDTF">2011-03-02T06:36:00Z</dcterms:created>
  <dcterms:modified xsi:type="dcterms:W3CDTF">2019-04-30T04:28:00Z</dcterms:modified>
</cp:coreProperties>
</file>